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3AD8C5" w14:textId="77777777" w:rsidR="0065384F" w:rsidRPr="002D1DC9" w:rsidRDefault="0065384F" w:rsidP="0065384F">
      <w:pPr>
        <w:spacing w:after="0"/>
        <w:jc w:val="center"/>
        <w:rPr>
          <w:rFonts w:ascii="Book Antiqua" w:hAnsi="Book Antiqua"/>
          <w:b/>
          <w:color w:val="1F3864" w:themeColor="accent1" w:themeShade="80"/>
          <w:sz w:val="24"/>
          <w:szCs w:val="24"/>
        </w:rPr>
      </w:pPr>
      <w:bookmarkStart w:id="0" w:name="_GoBack"/>
      <w:bookmarkEnd w:id="0"/>
      <w:r w:rsidRPr="002D1DC9">
        <w:rPr>
          <w:noProof/>
          <w:color w:val="1F3864" w:themeColor="accent1" w:themeShade="80"/>
          <w:lang w:eastAsia="es-SV"/>
        </w:rPr>
        <w:drawing>
          <wp:anchor distT="0" distB="0" distL="114300" distR="114300" simplePos="0" relativeHeight="251659264" behindDoc="1" locked="0" layoutInCell="1" allowOverlap="1" wp14:anchorId="01E51003" wp14:editId="4BA406D3">
            <wp:simplePos x="0" y="0"/>
            <wp:positionH relativeFrom="column">
              <wp:posOffset>1626490</wp:posOffset>
            </wp:positionH>
            <wp:positionV relativeFrom="paragraph">
              <wp:posOffset>-175590</wp:posOffset>
            </wp:positionV>
            <wp:extent cx="2267712" cy="928970"/>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7569" cy="928911"/>
                    </a:xfrm>
                    <a:prstGeom prst="rect">
                      <a:avLst/>
                    </a:prstGeom>
                    <a:noFill/>
                  </pic:spPr>
                </pic:pic>
              </a:graphicData>
            </a:graphic>
            <wp14:sizeRelH relativeFrom="page">
              <wp14:pctWidth>0</wp14:pctWidth>
            </wp14:sizeRelH>
            <wp14:sizeRelV relativeFrom="page">
              <wp14:pctHeight>0</wp14:pctHeight>
            </wp14:sizeRelV>
          </wp:anchor>
        </w:drawing>
      </w:r>
    </w:p>
    <w:p w14:paraId="1E9AE7BE" w14:textId="77777777" w:rsidR="0065384F" w:rsidRPr="002D1DC9" w:rsidRDefault="0065384F" w:rsidP="0065384F">
      <w:pPr>
        <w:spacing w:after="0"/>
        <w:jc w:val="center"/>
        <w:rPr>
          <w:rFonts w:ascii="Book Antiqua" w:hAnsi="Book Antiqua"/>
          <w:color w:val="1F3864" w:themeColor="accent1" w:themeShade="80"/>
          <w:sz w:val="24"/>
          <w:szCs w:val="24"/>
        </w:rPr>
      </w:pPr>
    </w:p>
    <w:p w14:paraId="37B92643" w14:textId="77777777" w:rsidR="0065384F" w:rsidRPr="002D1DC9" w:rsidRDefault="0065384F" w:rsidP="0065384F">
      <w:pPr>
        <w:spacing w:after="0"/>
        <w:jc w:val="center"/>
        <w:rPr>
          <w:rFonts w:ascii="Book Antiqua" w:hAnsi="Book Antiqua"/>
          <w:b/>
          <w:color w:val="1F3864" w:themeColor="accent1" w:themeShade="80"/>
        </w:rPr>
      </w:pPr>
    </w:p>
    <w:p w14:paraId="54FDA1B2" w14:textId="77777777" w:rsidR="0065384F" w:rsidRPr="002D1DC9" w:rsidRDefault="0065384F" w:rsidP="0065384F">
      <w:pPr>
        <w:spacing w:after="0"/>
        <w:rPr>
          <w:rFonts w:ascii="Book Antiqua" w:hAnsi="Book Antiqua"/>
          <w:b/>
          <w:color w:val="1F3864" w:themeColor="accent1" w:themeShade="80"/>
        </w:rPr>
      </w:pPr>
    </w:p>
    <w:p w14:paraId="2130FCD6" w14:textId="77777777" w:rsidR="0065384F" w:rsidRPr="002D1DC9" w:rsidRDefault="0065384F" w:rsidP="0065384F">
      <w:pPr>
        <w:spacing w:after="0"/>
        <w:rPr>
          <w:rFonts w:ascii="Book Antiqua" w:hAnsi="Book Antiqua"/>
          <w:b/>
          <w:color w:val="1F3864" w:themeColor="accent1" w:themeShade="80"/>
          <w:sz w:val="24"/>
        </w:rPr>
      </w:pPr>
    </w:p>
    <w:p w14:paraId="6F60690B" w14:textId="77777777" w:rsidR="0065384F" w:rsidRPr="002D1DC9" w:rsidRDefault="0065384F" w:rsidP="0065384F">
      <w:pPr>
        <w:spacing w:after="0"/>
        <w:jc w:val="center"/>
        <w:rPr>
          <w:rFonts w:ascii="Book Antiqua" w:hAnsi="Book Antiqua"/>
          <w:b/>
          <w:color w:val="1F3864" w:themeColor="accent1" w:themeShade="80"/>
          <w:sz w:val="24"/>
        </w:rPr>
      </w:pPr>
      <w:r w:rsidRPr="002D1DC9">
        <w:rPr>
          <w:rFonts w:ascii="Book Antiqua" w:hAnsi="Book Antiqua"/>
          <w:b/>
          <w:color w:val="1F3864" w:themeColor="accent1" w:themeShade="80"/>
          <w:sz w:val="24"/>
        </w:rPr>
        <w:t>UNIDAD DE ACCESO A LA INFORMACIÓN PÚBLICA</w:t>
      </w:r>
    </w:p>
    <w:p w14:paraId="60AAB9E3" w14:textId="35F016F1" w:rsidR="0065384F" w:rsidRPr="002D1DC9" w:rsidRDefault="0065384F" w:rsidP="0065384F">
      <w:pPr>
        <w:spacing w:after="0"/>
        <w:jc w:val="center"/>
        <w:rPr>
          <w:rFonts w:ascii="Book Antiqua" w:hAnsi="Book Antiqua"/>
          <w:b/>
          <w:color w:val="1F3864" w:themeColor="accent1" w:themeShade="80"/>
          <w:sz w:val="20"/>
        </w:rPr>
      </w:pPr>
      <w:r w:rsidRPr="002D1DC9">
        <w:rPr>
          <w:rFonts w:ascii="Book Antiqua" w:hAnsi="Book Antiqua"/>
          <w:b/>
          <w:color w:val="1F3864" w:themeColor="accent1" w:themeShade="80"/>
          <w:sz w:val="20"/>
        </w:rPr>
        <w:t>RESOLUCIÓN No. 0032-2022</w:t>
      </w:r>
    </w:p>
    <w:p w14:paraId="10AA3314" w14:textId="77777777" w:rsidR="0065384F" w:rsidRPr="002D1DC9" w:rsidRDefault="0065384F" w:rsidP="0065384F">
      <w:pPr>
        <w:spacing w:after="0"/>
        <w:rPr>
          <w:rFonts w:ascii="Book Antiqua" w:hAnsi="Book Antiqua"/>
          <w:b/>
          <w:color w:val="1F3864" w:themeColor="accent1" w:themeShade="80"/>
        </w:rPr>
      </w:pPr>
    </w:p>
    <w:p w14:paraId="6C76322C" w14:textId="2A2460CE" w:rsidR="0065384F" w:rsidRPr="002D1DC9" w:rsidRDefault="0065384F" w:rsidP="0065384F">
      <w:pPr>
        <w:jc w:val="right"/>
        <w:rPr>
          <w:rFonts w:ascii="Book Antiqua" w:hAnsi="Book Antiqua"/>
          <w:b/>
          <w:color w:val="1F3864" w:themeColor="accent1" w:themeShade="80"/>
          <w:lang w:val="es-ES" w:eastAsia="es-ES"/>
        </w:rPr>
      </w:pPr>
      <w:r w:rsidRPr="002D1DC9">
        <w:rPr>
          <w:rFonts w:ascii="Book Antiqua" w:hAnsi="Book Antiqua"/>
          <w:b/>
          <w:color w:val="1F3864" w:themeColor="accent1" w:themeShade="80"/>
          <w:lang w:val="es-ES" w:eastAsia="es-ES"/>
        </w:rPr>
        <w:t>MIGOBDT-0031-2022</w:t>
      </w:r>
    </w:p>
    <w:p w14:paraId="0D6FACC3" w14:textId="7C89D3C5" w:rsidR="0065384F" w:rsidRPr="002D1DC9" w:rsidRDefault="0065384F" w:rsidP="0065384F">
      <w:pPr>
        <w:jc w:val="both"/>
        <w:rPr>
          <w:rFonts w:ascii="Book Antiqua" w:hAnsi="Book Antiqua"/>
          <w:color w:val="1F3864" w:themeColor="accent1" w:themeShade="80"/>
          <w:sz w:val="23"/>
          <w:szCs w:val="23"/>
        </w:rPr>
      </w:pPr>
      <w:r w:rsidRPr="002D1DC9">
        <w:rPr>
          <w:rFonts w:ascii="Book Antiqua" w:hAnsi="Book Antiqua"/>
          <w:color w:val="1F3864" w:themeColor="accent1" w:themeShade="80"/>
          <w:sz w:val="23"/>
          <w:szCs w:val="23"/>
          <w:lang w:val="es-ES" w:eastAsia="es-ES"/>
        </w:rPr>
        <w:t xml:space="preserve">En </w:t>
      </w:r>
      <w:r w:rsidRPr="002D1DC9">
        <w:rPr>
          <w:rFonts w:ascii="Book Antiqua" w:hAnsi="Book Antiqua"/>
          <w:color w:val="1F3864" w:themeColor="accent1" w:themeShade="80"/>
          <w:sz w:val="23"/>
          <w:szCs w:val="23"/>
        </w:rPr>
        <w:t xml:space="preserve">la Unidad de Acceso a la Información Pública del Ministerio de Gobernación y Desarrollo Territorial: San Salvador, a las once horas minutos del </w:t>
      </w:r>
      <w:r w:rsidR="00E23B26" w:rsidRPr="002D1DC9">
        <w:rPr>
          <w:rFonts w:ascii="Book Antiqua" w:hAnsi="Book Antiqua"/>
          <w:color w:val="1F3864" w:themeColor="accent1" w:themeShade="80"/>
          <w:sz w:val="23"/>
          <w:szCs w:val="23"/>
        </w:rPr>
        <w:t>veintitrés</w:t>
      </w:r>
      <w:r w:rsidRPr="002D1DC9">
        <w:rPr>
          <w:rFonts w:ascii="Book Antiqua" w:hAnsi="Book Antiqua"/>
          <w:color w:val="1F3864" w:themeColor="accent1" w:themeShade="80"/>
          <w:sz w:val="23"/>
          <w:szCs w:val="23"/>
        </w:rPr>
        <w:t xml:space="preserve"> de mayo de dos mil veintidós. </w:t>
      </w:r>
      <w:r w:rsidRPr="002D1DC9">
        <w:rPr>
          <w:rFonts w:ascii="Book Antiqua" w:hAnsi="Book Antiqua"/>
          <w:b/>
          <w:color w:val="1F3864" w:themeColor="accent1" w:themeShade="80"/>
          <w:sz w:val="23"/>
          <w:szCs w:val="23"/>
        </w:rPr>
        <w:t>CONSIDERANDO</w:t>
      </w:r>
      <w:r w:rsidRPr="002D1DC9">
        <w:rPr>
          <w:rFonts w:ascii="Book Antiqua" w:hAnsi="Book Antiqua"/>
          <w:color w:val="1F3864" w:themeColor="accent1" w:themeShade="80"/>
          <w:sz w:val="23"/>
          <w:szCs w:val="23"/>
        </w:rPr>
        <w:t xml:space="preserve">: </w:t>
      </w:r>
    </w:p>
    <w:p w14:paraId="1043622D" w14:textId="75AA8B46" w:rsidR="0065384F" w:rsidRPr="002D1DC9" w:rsidRDefault="0065384F" w:rsidP="0065384F">
      <w:pPr>
        <w:pStyle w:val="Prrafodelista"/>
        <w:numPr>
          <w:ilvl w:val="0"/>
          <w:numId w:val="1"/>
        </w:numPr>
        <w:ind w:left="567" w:hanging="567"/>
        <w:jc w:val="both"/>
        <w:rPr>
          <w:rFonts w:ascii="Book Antiqua" w:hAnsi="Book Antiqua"/>
          <w:b/>
          <w:color w:val="1F3864" w:themeColor="accent1" w:themeShade="80"/>
          <w:sz w:val="23"/>
          <w:szCs w:val="23"/>
          <w:lang w:val="es-ES" w:eastAsia="es-ES"/>
        </w:rPr>
      </w:pPr>
      <w:r w:rsidRPr="002D1DC9">
        <w:rPr>
          <w:rFonts w:ascii="Book Antiqua" w:hAnsi="Book Antiqua"/>
          <w:color w:val="1F3864" w:themeColor="accent1" w:themeShade="80"/>
          <w:sz w:val="23"/>
          <w:szCs w:val="23"/>
        </w:rPr>
        <w:t xml:space="preserve"> </w:t>
      </w:r>
      <w:r w:rsidRPr="002D1DC9">
        <w:rPr>
          <w:rFonts w:ascii="Book Antiqua" w:hAnsi="Book Antiqua"/>
          <w:color w:val="1F3864" w:themeColor="accent1" w:themeShade="80"/>
          <w:sz w:val="23"/>
          <w:szCs w:val="23"/>
          <w:lang w:val="es-ES" w:eastAsia="es-ES"/>
        </w:rPr>
        <w:t>Que, el do</w:t>
      </w:r>
      <w:r w:rsidR="00C326EE" w:rsidRPr="002D1DC9">
        <w:rPr>
          <w:rFonts w:ascii="Book Antiqua" w:hAnsi="Book Antiqua"/>
          <w:color w:val="1F3864" w:themeColor="accent1" w:themeShade="80"/>
          <w:sz w:val="23"/>
          <w:szCs w:val="23"/>
          <w:lang w:val="es-ES" w:eastAsia="es-ES"/>
        </w:rPr>
        <w:t>ce</w:t>
      </w:r>
      <w:r w:rsidRPr="002D1DC9">
        <w:rPr>
          <w:rFonts w:ascii="Book Antiqua" w:hAnsi="Book Antiqua"/>
          <w:color w:val="1F3864" w:themeColor="accent1" w:themeShade="80"/>
          <w:sz w:val="23"/>
          <w:szCs w:val="23"/>
          <w:lang w:val="es-ES" w:eastAsia="es-ES"/>
        </w:rPr>
        <w:t xml:space="preserve"> de mayo del presente año, se recibió vía correo electrónico, la solicitud de información con referencia MIGOBDT-00</w:t>
      </w:r>
      <w:r w:rsidR="00C326EE" w:rsidRPr="002D1DC9">
        <w:rPr>
          <w:rFonts w:ascii="Book Antiqua" w:hAnsi="Book Antiqua"/>
          <w:color w:val="1F3864" w:themeColor="accent1" w:themeShade="80"/>
          <w:sz w:val="23"/>
          <w:szCs w:val="23"/>
          <w:lang w:val="es-ES" w:eastAsia="es-ES"/>
        </w:rPr>
        <w:t>31</w:t>
      </w:r>
      <w:r w:rsidRPr="002D1DC9">
        <w:rPr>
          <w:rFonts w:ascii="Book Antiqua" w:hAnsi="Book Antiqua"/>
          <w:color w:val="1F3864" w:themeColor="accent1" w:themeShade="80"/>
          <w:sz w:val="23"/>
          <w:szCs w:val="23"/>
          <w:lang w:val="es-ES" w:eastAsia="es-ES"/>
        </w:rPr>
        <w:t>-2022. Lo anterior, en virtud de lo establecido en el Art. 66 de la Ley de Acceso a la Información Pública (LAIP) y Art. 71 de la Ley de Procedimientos Administrativos (LPA).</w:t>
      </w:r>
    </w:p>
    <w:p w14:paraId="041A07B5" w14:textId="77777777" w:rsidR="0065384F" w:rsidRPr="002D1DC9" w:rsidRDefault="0065384F" w:rsidP="0065384F">
      <w:pPr>
        <w:pStyle w:val="Prrafodelista"/>
        <w:ind w:left="567" w:hanging="567"/>
        <w:jc w:val="both"/>
        <w:rPr>
          <w:rFonts w:ascii="Book Antiqua" w:hAnsi="Book Antiqua"/>
          <w:b/>
          <w:color w:val="1F3864" w:themeColor="accent1" w:themeShade="80"/>
          <w:sz w:val="23"/>
          <w:szCs w:val="23"/>
          <w:lang w:val="es-ES" w:eastAsia="es-ES"/>
        </w:rPr>
      </w:pPr>
    </w:p>
    <w:p w14:paraId="75A6566F" w14:textId="705595FE" w:rsidR="0065384F" w:rsidRPr="002D1DC9" w:rsidRDefault="0065384F" w:rsidP="0065384F">
      <w:pPr>
        <w:pStyle w:val="Prrafodelista"/>
        <w:numPr>
          <w:ilvl w:val="0"/>
          <w:numId w:val="1"/>
        </w:numPr>
        <w:spacing w:after="0"/>
        <w:ind w:left="567" w:hanging="567"/>
        <w:jc w:val="both"/>
        <w:rPr>
          <w:rFonts w:ascii="Book Antiqua" w:hAnsi="Book Antiqua"/>
          <w:i/>
          <w:color w:val="1F3864" w:themeColor="accent1" w:themeShade="80"/>
          <w:sz w:val="24"/>
          <w:szCs w:val="24"/>
          <w:lang w:val="es-ES_tradnl"/>
        </w:rPr>
      </w:pPr>
      <w:r w:rsidRPr="002D1DC9">
        <w:rPr>
          <w:rFonts w:ascii="Book Antiqua" w:hAnsi="Book Antiqua"/>
          <w:color w:val="1F3864" w:themeColor="accent1" w:themeShade="80"/>
          <w:sz w:val="23"/>
          <w:szCs w:val="23"/>
          <w:lang w:val="es-ES" w:eastAsia="es-ES"/>
        </w:rPr>
        <w:t xml:space="preserve">Atendiendo a lo antes expuesto, en la solicitud de información se requirió la       información consistente en: </w:t>
      </w:r>
      <w:r w:rsidRPr="002D1DC9">
        <w:rPr>
          <w:rFonts w:ascii="Book Antiqua" w:hAnsi="Book Antiqua"/>
          <w:i/>
          <w:color w:val="1F3864" w:themeColor="accent1" w:themeShade="80"/>
          <w:sz w:val="24"/>
          <w:szCs w:val="24"/>
          <w:lang w:val="es-ES_tradnl"/>
        </w:rPr>
        <w:t>“</w:t>
      </w:r>
      <w:r w:rsidR="00C326EE" w:rsidRPr="002D1DC9">
        <w:rPr>
          <w:rFonts w:ascii="Times New Roman" w:eastAsia="Times New Roman" w:hAnsi="Times New Roman" w:cs="Times New Roman"/>
          <w:bCs/>
          <w:i/>
          <w:iCs/>
          <w:color w:val="1F3864" w:themeColor="accent1" w:themeShade="80"/>
          <w:szCs w:val="21"/>
          <w:lang w:eastAsia="es-ES_tradnl"/>
        </w:rPr>
        <w:t xml:space="preserve">Me informe sobre la representación legal de la FEDERACIÓN DE ASOCIACIONES DE SALVADOREÑAS DE EMPRESARIOS EN MICROBUSES, la cual puede abreviarse FASEMI, la cual </w:t>
      </w:r>
      <w:r w:rsidR="0031207C" w:rsidRPr="002D1DC9">
        <w:rPr>
          <w:rFonts w:ascii="Times New Roman" w:eastAsia="Times New Roman" w:hAnsi="Times New Roman" w:cs="Times New Roman"/>
          <w:bCs/>
          <w:i/>
          <w:iCs/>
          <w:color w:val="1F3864" w:themeColor="accent1" w:themeShade="80"/>
          <w:szCs w:val="21"/>
          <w:lang w:eastAsia="es-ES_tradnl"/>
        </w:rPr>
        <w:t>está</w:t>
      </w:r>
      <w:r w:rsidR="00C326EE" w:rsidRPr="002D1DC9">
        <w:rPr>
          <w:rFonts w:ascii="Times New Roman" w:eastAsia="Times New Roman" w:hAnsi="Times New Roman" w:cs="Times New Roman"/>
          <w:bCs/>
          <w:i/>
          <w:iCs/>
          <w:color w:val="1F3864" w:themeColor="accent1" w:themeShade="80"/>
          <w:szCs w:val="21"/>
          <w:lang w:eastAsia="es-ES_tradnl"/>
        </w:rPr>
        <w:t xml:space="preserve"> inscrita en el Registro de Asociaciones y Fundaciones sin Fines de Lucro; en otras palabras: ¿Quién ejerce dicha Representación legal? ¿Cuándo fue electo? ¿Cuál es el plazo para el que fue electo?  II) Me extienda COPIA DIGITAL de la último Acta de Elección de Junta Directiva u organismo de administración de FEDERACIÓN DE ASOCIACIONES DE SALVADOREÑAS DE EMPRESARIOS EN MICROBUSES, la cual puede abreviarse como FASEMI</w:t>
      </w:r>
      <w:r w:rsidR="00C326EE" w:rsidRPr="002D1DC9">
        <w:rPr>
          <w:rFonts w:ascii="Book Antiqua" w:hAnsi="Book Antiqua"/>
          <w:i/>
          <w:color w:val="1F3864" w:themeColor="accent1" w:themeShade="80"/>
          <w:sz w:val="24"/>
          <w:szCs w:val="24"/>
          <w:lang w:val="es-ES_tradnl"/>
        </w:rPr>
        <w:t>”</w:t>
      </w:r>
      <w:r w:rsidRPr="002D1DC9">
        <w:rPr>
          <w:rFonts w:ascii="Book Antiqua" w:hAnsi="Book Antiqua"/>
          <w:i/>
          <w:color w:val="1F3864" w:themeColor="accent1" w:themeShade="80"/>
          <w:sz w:val="24"/>
          <w:szCs w:val="24"/>
          <w:lang w:val="es-ES_tradnl"/>
        </w:rPr>
        <w:t>.</w:t>
      </w:r>
    </w:p>
    <w:p w14:paraId="094EDC8F" w14:textId="77777777" w:rsidR="0065384F" w:rsidRPr="002D1DC9" w:rsidRDefault="0065384F" w:rsidP="0065384F">
      <w:pPr>
        <w:pStyle w:val="Prrafodelista"/>
        <w:ind w:left="567" w:hanging="567"/>
        <w:rPr>
          <w:rFonts w:ascii="Book Antiqua" w:hAnsi="Book Antiqua"/>
          <w:color w:val="1F3864" w:themeColor="accent1" w:themeShade="80"/>
          <w:sz w:val="23"/>
          <w:szCs w:val="23"/>
          <w:lang w:eastAsia="es-ES"/>
        </w:rPr>
      </w:pPr>
    </w:p>
    <w:p w14:paraId="317013B8" w14:textId="3D09D764" w:rsidR="0065384F" w:rsidRPr="002D1DC9" w:rsidRDefault="0065384F" w:rsidP="0065384F">
      <w:pPr>
        <w:pStyle w:val="Prrafodelista"/>
        <w:numPr>
          <w:ilvl w:val="0"/>
          <w:numId w:val="1"/>
        </w:numPr>
        <w:ind w:left="567" w:hanging="567"/>
        <w:jc w:val="both"/>
        <w:rPr>
          <w:rFonts w:ascii="Book Antiqua" w:hAnsi="Book Antiqua"/>
          <w:b/>
          <w:i/>
          <w:color w:val="1F3864" w:themeColor="accent1" w:themeShade="80"/>
          <w:sz w:val="23"/>
          <w:szCs w:val="23"/>
          <w:lang w:val="es-ES" w:eastAsia="es-ES"/>
        </w:rPr>
      </w:pPr>
      <w:r w:rsidRPr="002D1DC9">
        <w:rPr>
          <w:rFonts w:ascii="Book Antiqua" w:hAnsi="Book Antiqua"/>
          <w:color w:val="1F3864" w:themeColor="accent1" w:themeShade="80"/>
          <w:sz w:val="23"/>
          <w:szCs w:val="23"/>
          <w:lang w:eastAsia="es-ES"/>
        </w:rPr>
        <w:t xml:space="preserve">Que, en fecha </w:t>
      </w:r>
      <w:r w:rsidR="00E0018E" w:rsidRPr="002D1DC9">
        <w:rPr>
          <w:rFonts w:ascii="Book Antiqua" w:hAnsi="Book Antiqua"/>
          <w:color w:val="1F3864" w:themeColor="accent1" w:themeShade="80"/>
          <w:sz w:val="23"/>
          <w:szCs w:val="23"/>
          <w:lang w:eastAsia="es-ES"/>
        </w:rPr>
        <w:t>veinte</w:t>
      </w:r>
      <w:r w:rsidR="0031207C" w:rsidRPr="002D1DC9">
        <w:rPr>
          <w:rFonts w:ascii="Book Antiqua" w:hAnsi="Book Antiqua"/>
          <w:color w:val="1F3864" w:themeColor="accent1" w:themeShade="80"/>
          <w:sz w:val="23"/>
          <w:szCs w:val="23"/>
          <w:lang w:eastAsia="es-ES"/>
        </w:rPr>
        <w:t xml:space="preserve"> </w:t>
      </w:r>
      <w:r w:rsidRPr="002D1DC9">
        <w:rPr>
          <w:rFonts w:ascii="Book Antiqua" w:hAnsi="Book Antiqua"/>
          <w:color w:val="1F3864" w:themeColor="accent1" w:themeShade="80"/>
          <w:sz w:val="23"/>
          <w:szCs w:val="23"/>
          <w:lang w:eastAsia="es-ES"/>
        </w:rPr>
        <w:t xml:space="preserve">de mayo de mayo del presente año; con base al artículo 71 de la Ley de Acceso a la Información Pública, la Unidad Administrativa Facultada informó a esta Unidad de Acceso a la Información Pública, lo siguiente: </w:t>
      </w:r>
      <w:r w:rsidRPr="002D1DC9">
        <w:rPr>
          <w:rFonts w:ascii="Book Antiqua" w:hAnsi="Book Antiqua"/>
          <w:i/>
          <w:color w:val="1F3864" w:themeColor="accent1" w:themeShade="80"/>
          <w:sz w:val="23"/>
          <w:szCs w:val="23"/>
          <w:lang w:eastAsia="es-ES"/>
        </w:rPr>
        <w:t>“</w:t>
      </w:r>
      <w:r w:rsidRPr="002D1DC9">
        <w:rPr>
          <w:rFonts w:ascii="Book Antiqua" w:hAnsi="Book Antiqua"/>
          <w:i/>
          <w:color w:val="1F3864" w:themeColor="accent1" w:themeShade="80"/>
          <w:sz w:val="24"/>
          <w:szCs w:val="24"/>
          <w:lang w:val="es-ES_tradnl"/>
        </w:rPr>
        <w:t xml:space="preserve">sobre el particular le informo, </w:t>
      </w:r>
      <w:r w:rsidR="0031207C" w:rsidRPr="002D1DC9">
        <w:rPr>
          <w:rFonts w:ascii="Book Antiqua" w:hAnsi="Book Antiqua"/>
          <w:i/>
          <w:color w:val="1F3864" w:themeColor="accent1" w:themeShade="80"/>
          <w:sz w:val="24"/>
          <w:szCs w:val="24"/>
          <w:lang w:val="es-ES_tradnl"/>
        </w:rPr>
        <w:t xml:space="preserve">que se adjunta </w:t>
      </w:r>
      <w:r w:rsidRPr="002D1DC9">
        <w:rPr>
          <w:rFonts w:ascii="Book Antiqua" w:hAnsi="Book Antiqua"/>
          <w:i/>
          <w:color w:val="1F3864" w:themeColor="accent1" w:themeShade="80"/>
          <w:sz w:val="24"/>
          <w:szCs w:val="24"/>
          <w:lang w:val="es-ES_tradnl"/>
        </w:rPr>
        <w:t xml:space="preserve">copia simple de la Junta Directiva, la cual corresponde al periodo dos mil </w:t>
      </w:r>
      <w:r w:rsidR="0031207C" w:rsidRPr="002D1DC9">
        <w:rPr>
          <w:rFonts w:ascii="Book Antiqua" w:hAnsi="Book Antiqua"/>
          <w:i/>
          <w:color w:val="1F3864" w:themeColor="accent1" w:themeShade="80"/>
          <w:sz w:val="24"/>
          <w:szCs w:val="24"/>
          <w:lang w:val="es-ES_tradnl"/>
        </w:rPr>
        <w:t>veintiuno</w:t>
      </w:r>
      <w:r w:rsidRPr="002D1DC9">
        <w:rPr>
          <w:rFonts w:ascii="Book Antiqua" w:hAnsi="Book Antiqua"/>
          <w:i/>
          <w:color w:val="1F3864" w:themeColor="accent1" w:themeShade="80"/>
          <w:sz w:val="24"/>
          <w:szCs w:val="24"/>
          <w:lang w:val="es-ES_tradnl"/>
        </w:rPr>
        <w:t xml:space="preserve">, dos mil </w:t>
      </w:r>
      <w:r w:rsidR="0031207C" w:rsidRPr="002D1DC9">
        <w:rPr>
          <w:rFonts w:ascii="Book Antiqua" w:hAnsi="Book Antiqua"/>
          <w:i/>
          <w:color w:val="1F3864" w:themeColor="accent1" w:themeShade="80"/>
          <w:sz w:val="24"/>
          <w:szCs w:val="24"/>
          <w:lang w:val="es-ES_tradnl"/>
        </w:rPr>
        <w:t>veintitrés</w:t>
      </w:r>
      <w:r w:rsidRPr="002D1DC9">
        <w:rPr>
          <w:rFonts w:ascii="Book Antiqua" w:hAnsi="Book Antiqua"/>
          <w:i/>
          <w:color w:val="1F3864" w:themeColor="accent1" w:themeShade="80"/>
          <w:sz w:val="24"/>
          <w:szCs w:val="24"/>
          <w:lang w:val="es-ES_tradnl"/>
        </w:rPr>
        <w:t>”.</w:t>
      </w:r>
    </w:p>
    <w:p w14:paraId="33B15568" w14:textId="77777777" w:rsidR="0065384F" w:rsidRPr="002D1DC9" w:rsidRDefault="0065384F" w:rsidP="0065384F">
      <w:pPr>
        <w:pStyle w:val="Prrafodelista"/>
        <w:ind w:left="567"/>
        <w:jc w:val="both"/>
        <w:rPr>
          <w:rFonts w:ascii="Book Antiqua" w:hAnsi="Book Antiqua"/>
          <w:b/>
          <w:i/>
          <w:color w:val="1F3864" w:themeColor="accent1" w:themeShade="80"/>
          <w:sz w:val="23"/>
          <w:szCs w:val="23"/>
          <w:lang w:val="es-ES" w:eastAsia="es-ES"/>
        </w:rPr>
      </w:pPr>
    </w:p>
    <w:p w14:paraId="35264F46" w14:textId="46A58195" w:rsidR="0065384F" w:rsidRPr="002D1DC9" w:rsidRDefault="0065384F" w:rsidP="0065384F">
      <w:pPr>
        <w:pStyle w:val="Prrafodelista"/>
        <w:numPr>
          <w:ilvl w:val="0"/>
          <w:numId w:val="1"/>
        </w:numPr>
        <w:spacing w:after="0"/>
        <w:ind w:left="567" w:hanging="567"/>
        <w:jc w:val="both"/>
        <w:rPr>
          <w:rFonts w:ascii="Book Antiqua" w:hAnsi="Book Antiqua"/>
          <w:b/>
          <w:color w:val="1F3864" w:themeColor="accent1" w:themeShade="80"/>
          <w:sz w:val="23"/>
          <w:szCs w:val="23"/>
          <w:lang w:val="es-ES" w:eastAsia="es-ES"/>
        </w:rPr>
      </w:pPr>
      <w:r w:rsidRPr="002D1DC9">
        <w:rPr>
          <w:rFonts w:ascii="Book Antiqua" w:hAnsi="Book Antiqua"/>
          <w:color w:val="1F3864" w:themeColor="accent1" w:themeShade="80"/>
          <w:sz w:val="23"/>
          <w:szCs w:val="23"/>
          <w:lang w:eastAsia="es-ES"/>
        </w:rPr>
        <w:t>Con base a los artículos 62 de la Ley de Acceso a la Información Pública y al Art. 57 del Reglamento de la Ley de Acceso a la Información Pública, se le notificará al solicitante vía correo electrónico el cual fue establecido en la solicitud de información; y, a sus efectos, la presente contiene de forma digital un ejemplar de esta resolución debidamente firmada y sellada por el Oficial de Información; así como también</w:t>
      </w:r>
      <w:r w:rsidR="008A311C" w:rsidRPr="002D1DC9">
        <w:rPr>
          <w:rFonts w:ascii="Book Antiqua" w:hAnsi="Book Antiqua"/>
          <w:color w:val="1F3864" w:themeColor="accent1" w:themeShade="80"/>
          <w:sz w:val="23"/>
          <w:szCs w:val="23"/>
          <w:lang w:eastAsia="es-ES"/>
        </w:rPr>
        <w:t xml:space="preserve">, un documento en formato PDF, el cual contiene el Acta de elección de la Junta Directiva de la FEDERACIÓN DE ASOCIACIONES DE SALVADOREÑAS DE EMPRESARIOS EN MICROBUSES, en la cual se muestran los miembros de dicha Junta Directiva y el plazo para el que fueron electos.  </w:t>
      </w:r>
      <w:r w:rsidRPr="002D1DC9">
        <w:rPr>
          <w:rFonts w:ascii="Book Antiqua" w:hAnsi="Book Antiqua"/>
          <w:color w:val="1F3864" w:themeColor="accent1" w:themeShade="80"/>
          <w:sz w:val="23"/>
          <w:szCs w:val="23"/>
          <w:lang w:eastAsia="es-ES"/>
        </w:rPr>
        <w:t xml:space="preserve"> </w:t>
      </w:r>
    </w:p>
    <w:p w14:paraId="19BBF7C4" w14:textId="77777777" w:rsidR="0065384F" w:rsidRPr="002D1DC9" w:rsidRDefault="0065384F" w:rsidP="0065384F">
      <w:pPr>
        <w:pStyle w:val="Prrafodelista"/>
        <w:spacing w:after="0"/>
        <w:ind w:left="567"/>
        <w:jc w:val="both"/>
        <w:rPr>
          <w:rFonts w:ascii="Book Antiqua" w:hAnsi="Book Antiqua"/>
          <w:b/>
          <w:color w:val="1F3864" w:themeColor="accent1" w:themeShade="80"/>
          <w:sz w:val="23"/>
          <w:szCs w:val="23"/>
          <w:lang w:val="es-ES" w:eastAsia="es-ES"/>
        </w:rPr>
      </w:pPr>
    </w:p>
    <w:p w14:paraId="5B1CCAAE" w14:textId="77777777" w:rsidR="0065384F" w:rsidRPr="002D1DC9" w:rsidRDefault="0065384F" w:rsidP="0065384F">
      <w:pPr>
        <w:pStyle w:val="Prrafodelista"/>
        <w:numPr>
          <w:ilvl w:val="0"/>
          <w:numId w:val="1"/>
        </w:numPr>
        <w:ind w:left="567" w:hanging="567"/>
        <w:jc w:val="both"/>
        <w:rPr>
          <w:rFonts w:ascii="Book Antiqua" w:hAnsi="Book Antiqua"/>
          <w:b/>
          <w:color w:val="1F3864" w:themeColor="accent1" w:themeShade="80"/>
          <w:sz w:val="23"/>
          <w:szCs w:val="23"/>
          <w:lang w:val="es-ES" w:eastAsia="es-ES"/>
        </w:rPr>
      </w:pPr>
      <w:r w:rsidRPr="002D1DC9">
        <w:rPr>
          <w:rFonts w:ascii="Book Antiqua" w:hAnsi="Book Antiqua"/>
          <w:b/>
          <w:color w:val="1F3864" w:themeColor="accent1" w:themeShade="80"/>
          <w:sz w:val="23"/>
          <w:szCs w:val="23"/>
          <w:lang w:eastAsia="es-ES"/>
        </w:rPr>
        <w:t xml:space="preserve">Por tanto, </w:t>
      </w:r>
      <w:r w:rsidRPr="002D1DC9">
        <w:rPr>
          <w:rFonts w:ascii="Book Antiqua" w:hAnsi="Book Antiqua"/>
          <w:color w:val="1F3864" w:themeColor="accent1" w:themeShade="80"/>
          <w:sz w:val="23"/>
          <w:szCs w:val="23"/>
          <w:lang w:eastAsia="es-ES"/>
        </w:rPr>
        <w:t xml:space="preserve">de conformidad con las razones antes expuestas y disposiciones legales citadas, y con base al artículo 72 letra “c” de la LAIP, </w:t>
      </w:r>
      <w:r w:rsidRPr="002D1DC9">
        <w:rPr>
          <w:rFonts w:ascii="Book Antiqua" w:hAnsi="Book Antiqua"/>
          <w:b/>
          <w:color w:val="1F3864" w:themeColor="accent1" w:themeShade="80"/>
          <w:sz w:val="23"/>
          <w:szCs w:val="23"/>
          <w:lang w:eastAsia="es-ES"/>
        </w:rPr>
        <w:t>resuelvo:</w:t>
      </w:r>
      <w:r w:rsidRPr="002D1DC9">
        <w:rPr>
          <w:rFonts w:ascii="Book Antiqua" w:hAnsi="Book Antiqua"/>
          <w:color w:val="1F3864" w:themeColor="accent1" w:themeShade="80"/>
          <w:sz w:val="23"/>
          <w:szCs w:val="23"/>
          <w:lang w:eastAsia="es-ES"/>
        </w:rPr>
        <w:t xml:space="preserve"> </w:t>
      </w:r>
    </w:p>
    <w:p w14:paraId="7A98630D" w14:textId="77777777" w:rsidR="0065384F" w:rsidRPr="002D1DC9" w:rsidRDefault="0065384F" w:rsidP="0065384F">
      <w:pPr>
        <w:pStyle w:val="Prrafodelista"/>
        <w:ind w:left="567" w:hanging="567"/>
        <w:rPr>
          <w:rFonts w:ascii="Book Antiqua" w:hAnsi="Book Antiqua"/>
          <w:color w:val="1F3864" w:themeColor="accent1" w:themeShade="80"/>
          <w:sz w:val="23"/>
          <w:szCs w:val="23"/>
          <w:lang w:eastAsia="es-ES"/>
        </w:rPr>
      </w:pPr>
    </w:p>
    <w:p w14:paraId="431CF4DD" w14:textId="77777777" w:rsidR="0065384F" w:rsidRPr="002D1DC9" w:rsidRDefault="0065384F" w:rsidP="0065384F">
      <w:pPr>
        <w:pStyle w:val="Prrafodelista"/>
        <w:numPr>
          <w:ilvl w:val="0"/>
          <w:numId w:val="2"/>
        </w:numPr>
        <w:ind w:left="567" w:hanging="567"/>
        <w:jc w:val="both"/>
        <w:rPr>
          <w:rFonts w:ascii="Book Antiqua" w:hAnsi="Book Antiqua"/>
          <w:b/>
          <w:color w:val="1F3864" w:themeColor="accent1" w:themeShade="80"/>
          <w:sz w:val="23"/>
          <w:szCs w:val="23"/>
          <w:lang w:val="es-ES" w:eastAsia="es-ES"/>
        </w:rPr>
      </w:pPr>
      <w:r w:rsidRPr="002D1DC9">
        <w:rPr>
          <w:rFonts w:ascii="Book Antiqua" w:hAnsi="Book Antiqua"/>
          <w:b/>
          <w:color w:val="1F3864" w:themeColor="accent1" w:themeShade="80"/>
          <w:sz w:val="23"/>
          <w:szCs w:val="23"/>
          <w:lang w:eastAsia="es-ES"/>
        </w:rPr>
        <w:t>Conceder el acceso a la información solicitada por medio de esta resolución</w:t>
      </w:r>
      <w:r w:rsidRPr="002D1DC9">
        <w:rPr>
          <w:rFonts w:ascii="Book Antiqua" w:hAnsi="Book Antiqua"/>
          <w:color w:val="1F3864" w:themeColor="accent1" w:themeShade="80"/>
          <w:sz w:val="23"/>
          <w:szCs w:val="23"/>
          <w:lang w:eastAsia="es-ES"/>
        </w:rPr>
        <w:t xml:space="preserve">. </w:t>
      </w:r>
    </w:p>
    <w:p w14:paraId="48EAA7F6" w14:textId="77777777" w:rsidR="0065384F" w:rsidRPr="002D1DC9" w:rsidRDefault="0065384F" w:rsidP="0065384F">
      <w:pPr>
        <w:pStyle w:val="Prrafodelista"/>
        <w:ind w:left="567" w:hanging="567"/>
        <w:jc w:val="both"/>
        <w:rPr>
          <w:rFonts w:ascii="Book Antiqua" w:hAnsi="Book Antiqua"/>
          <w:b/>
          <w:color w:val="1F3864" w:themeColor="accent1" w:themeShade="80"/>
          <w:sz w:val="23"/>
          <w:szCs w:val="23"/>
          <w:lang w:val="es-ES" w:eastAsia="es-ES"/>
        </w:rPr>
      </w:pPr>
      <w:r w:rsidRPr="002D1DC9">
        <w:rPr>
          <w:rFonts w:ascii="Book Antiqua" w:hAnsi="Book Antiqua"/>
          <w:b/>
          <w:color w:val="1F3864" w:themeColor="accent1" w:themeShade="80"/>
          <w:sz w:val="23"/>
          <w:szCs w:val="23"/>
          <w:lang w:eastAsia="es-ES"/>
        </w:rPr>
        <w:t xml:space="preserve"> </w:t>
      </w:r>
    </w:p>
    <w:p w14:paraId="6D3A74DC" w14:textId="77777777" w:rsidR="0065384F" w:rsidRPr="002D1DC9" w:rsidRDefault="0065384F" w:rsidP="0065384F">
      <w:pPr>
        <w:pStyle w:val="Prrafodelista"/>
        <w:numPr>
          <w:ilvl w:val="0"/>
          <w:numId w:val="2"/>
        </w:numPr>
        <w:ind w:left="567" w:hanging="567"/>
        <w:jc w:val="both"/>
        <w:rPr>
          <w:rFonts w:ascii="Book Antiqua" w:hAnsi="Book Antiqua"/>
          <w:b/>
          <w:color w:val="1F3864" w:themeColor="accent1" w:themeShade="80"/>
          <w:sz w:val="23"/>
          <w:szCs w:val="23"/>
          <w:lang w:val="es-ES" w:eastAsia="es-ES"/>
        </w:rPr>
      </w:pPr>
      <w:r w:rsidRPr="002D1DC9">
        <w:rPr>
          <w:rFonts w:ascii="Book Antiqua" w:hAnsi="Book Antiqua"/>
          <w:b/>
          <w:color w:val="1F3864" w:themeColor="accent1" w:themeShade="80"/>
          <w:sz w:val="23"/>
          <w:szCs w:val="23"/>
          <w:lang w:val="es-ES" w:eastAsia="es-ES"/>
        </w:rPr>
        <w:t>Hacer</w:t>
      </w:r>
      <w:r w:rsidRPr="002D1DC9">
        <w:rPr>
          <w:rFonts w:ascii="Book Antiqua" w:hAnsi="Book Antiqua"/>
          <w:color w:val="1F3864" w:themeColor="accent1" w:themeShade="80"/>
          <w:sz w:val="23"/>
          <w:szCs w:val="23"/>
          <w:lang w:val="es-ES" w:eastAsia="es-ES"/>
        </w:rPr>
        <w:t xml:space="preserve"> saber al solicitante que si no se encuentra conforme con la información proporcionada le queda expedita la vía administrativa para acudir al Instituto de Acceso a la Información Pública en virtud de lo establecido en el artículo 135 de la Ley de Procedimientos Administrativos y Arts. 82, 83 de la Ley de Acceso a la Información Pública.  </w:t>
      </w:r>
    </w:p>
    <w:p w14:paraId="76A21CB8" w14:textId="77777777" w:rsidR="0065384F" w:rsidRPr="002D1DC9" w:rsidRDefault="0065384F" w:rsidP="0065384F">
      <w:pPr>
        <w:pStyle w:val="Prrafodelista"/>
        <w:ind w:left="567" w:hanging="567"/>
        <w:jc w:val="both"/>
        <w:rPr>
          <w:rFonts w:ascii="Book Antiqua" w:hAnsi="Book Antiqua"/>
          <w:b/>
          <w:color w:val="1F3864" w:themeColor="accent1" w:themeShade="80"/>
          <w:sz w:val="23"/>
          <w:szCs w:val="23"/>
          <w:lang w:val="es-ES" w:eastAsia="es-ES"/>
        </w:rPr>
      </w:pPr>
    </w:p>
    <w:p w14:paraId="4434C856" w14:textId="77777777" w:rsidR="0065384F" w:rsidRPr="002D1DC9" w:rsidRDefault="0065384F" w:rsidP="0065384F">
      <w:pPr>
        <w:pStyle w:val="Prrafodelista"/>
        <w:numPr>
          <w:ilvl w:val="0"/>
          <w:numId w:val="2"/>
        </w:numPr>
        <w:ind w:left="567" w:hanging="567"/>
        <w:jc w:val="both"/>
        <w:rPr>
          <w:rFonts w:ascii="Book Antiqua" w:hAnsi="Book Antiqua"/>
          <w:b/>
          <w:color w:val="1F3864" w:themeColor="accent1" w:themeShade="80"/>
          <w:lang w:val="es-ES" w:eastAsia="es-ES"/>
        </w:rPr>
      </w:pPr>
      <w:r w:rsidRPr="002D1DC9">
        <w:rPr>
          <w:rFonts w:ascii="Book Antiqua" w:hAnsi="Book Antiqua"/>
          <w:color w:val="1F3864" w:themeColor="accent1" w:themeShade="80"/>
          <w:sz w:val="23"/>
          <w:szCs w:val="23"/>
          <w:lang w:val="es-ES" w:eastAsia="es-ES"/>
        </w:rPr>
        <w:t xml:space="preserve">Conforme a los Arts. 18, 86 Inciso 3° de la Constitución, Arts. 2, 7, 9, 24, 36, 50, 62, 66, 70, 71 y 72 de la Ley de Acceso a la Información Pública y Arts. 71, 74, 81, 82 Inciso 3° y 96 de la Ley de Procedimientos Administrativos, esta Unidad de Acceso a la Información Pública, </w:t>
      </w:r>
      <w:r w:rsidRPr="002D1DC9">
        <w:rPr>
          <w:rFonts w:ascii="Book Antiqua" w:hAnsi="Book Antiqua"/>
          <w:b/>
          <w:color w:val="1F3864" w:themeColor="accent1" w:themeShade="80"/>
          <w:sz w:val="23"/>
          <w:szCs w:val="23"/>
          <w:lang w:val="es-ES" w:eastAsia="es-ES"/>
        </w:rPr>
        <w:t>Remite</w:t>
      </w:r>
      <w:r w:rsidRPr="002D1DC9">
        <w:rPr>
          <w:rFonts w:ascii="Book Antiqua" w:hAnsi="Book Antiqua"/>
          <w:color w:val="1F3864" w:themeColor="accent1" w:themeShade="80"/>
          <w:sz w:val="23"/>
          <w:szCs w:val="23"/>
          <w:lang w:val="es-ES" w:eastAsia="es-ES"/>
        </w:rPr>
        <w:t xml:space="preserve"> la presente por el medio señalado para tal efecto. </w:t>
      </w:r>
      <w:r w:rsidRPr="002D1DC9">
        <w:rPr>
          <w:rFonts w:ascii="Book Antiqua" w:hAnsi="Book Antiqua"/>
          <w:b/>
          <w:color w:val="1F3864" w:themeColor="accent1" w:themeShade="80"/>
          <w:sz w:val="23"/>
          <w:szCs w:val="23"/>
          <w:lang w:val="es-ES" w:eastAsia="es-ES"/>
        </w:rPr>
        <w:t>NOTIFÍQUESE.</w:t>
      </w:r>
    </w:p>
    <w:p w14:paraId="37F67112" w14:textId="77777777" w:rsidR="0065384F" w:rsidRPr="002D1DC9" w:rsidRDefault="0065384F" w:rsidP="0065384F">
      <w:pPr>
        <w:spacing w:line="360" w:lineRule="auto"/>
        <w:jc w:val="both"/>
        <w:rPr>
          <w:rFonts w:ascii="Book Antiqua" w:hAnsi="Book Antiqua"/>
          <w:color w:val="1F3864" w:themeColor="accent1" w:themeShade="80"/>
        </w:rPr>
      </w:pPr>
    </w:p>
    <w:p w14:paraId="045C939D" w14:textId="77777777" w:rsidR="0065384F" w:rsidRPr="002D1DC9" w:rsidRDefault="0065384F" w:rsidP="0065384F">
      <w:pPr>
        <w:spacing w:line="360" w:lineRule="auto"/>
        <w:jc w:val="both"/>
        <w:rPr>
          <w:rFonts w:ascii="Book Antiqua" w:hAnsi="Book Antiqua"/>
          <w:color w:val="1F3864" w:themeColor="accent1" w:themeShade="80"/>
        </w:rPr>
      </w:pPr>
    </w:p>
    <w:p w14:paraId="6E9799DE" w14:textId="77777777" w:rsidR="0065384F" w:rsidRPr="002D1DC9" w:rsidRDefault="0065384F" w:rsidP="0065384F">
      <w:pPr>
        <w:spacing w:line="360" w:lineRule="auto"/>
        <w:jc w:val="both"/>
        <w:rPr>
          <w:rFonts w:ascii="Book Antiqua" w:hAnsi="Book Antiqua"/>
          <w:color w:val="1F3864" w:themeColor="accent1" w:themeShade="80"/>
        </w:rPr>
      </w:pPr>
    </w:p>
    <w:p w14:paraId="48F6BD74" w14:textId="77777777" w:rsidR="0065384F" w:rsidRPr="002D1DC9" w:rsidRDefault="0065384F" w:rsidP="0065384F">
      <w:pPr>
        <w:spacing w:line="360" w:lineRule="auto"/>
        <w:jc w:val="both"/>
        <w:rPr>
          <w:rFonts w:ascii="Book Antiqua" w:hAnsi="Book Antiqua"/>
          <w:color w:val="1F3864" w:themeColor="accent1" w:themeShade="80"/>
        </w:rPr>
      </w:pPr>
    </w:p>
    <w:p w14:paraId="3CCEE2E2" w14:textId="77777777" w:rsidR="0065384F" w:rsidRPr="002D1DC9" w:rsidRDefault="0065384F" w:rsidP="0065384F">
      <w:pPr>
        <w:pStyle w:val="NormalWeb"/>
        <w:shd w:val="clear" w:color="auto" w:fill="FFFFFF"/>
        <w:spacing w:before="0" w:beforeAutospacing="0" w:after="0" w:afterAutospacing="0" w:line="276" w:lineRule="auto"/>
        <w:jc w:val="center"/>
        <w:rPr>
          <w:rFonts w:ascii="Book Antiqua" w:hAnsi="Book Antiqua"/>
          <w:b/>
          <w:color w:val="1F3864" w:themeColor="accent1" w:themeShade="80"/>
          <w:sz w:val="22"/>
          <w:szCs w:val="22"/>
        </w:rPr>
      </w:pPr>
      <w:r w:rsidRPr="002D1DC9">
        <w:rPr>
          <w:rFonts w:ascii="Book Antiqua" w:hAnsi="Book Antiqua"/>
          <w:color w:val="1F3864" w:themeColor="accent1" w:themeShade="80"/>
          <w:lang w:eastAsia="es-ES_tradnl"/>
        </w:rPr>
        <w:t xml:space="preserve"> </w:t>
      </w:r>
      <w:r w:rsidRPr="002D1DC9">
        <w:rPr>
          <w:rFonts w:ascii="Book Antiqua" w:hAnsi="Book Antiqua"/>
          <w:b/>
          <w:color w:val="1F3864" w:themeColor="accent1" w:themeShade="80"/>
          <w:sz w:val="22"/>
          <w:lang w:eastAsia="es-ES_tradnl"/>
        </w:rPr>
        <w:t xml:space="preserve">Lic. </w:t>
      </w:r>
      <w:r w:rsidRPr="002D1DC9">
        <w:rPr>
          <w:rFonts w:ascii="Book Antiqua" w:hAnsi="Book Antiqua"/>
          <w:b/>
          <w:color w:val="1F3864" w:themeColor="accent1" w:themeShade="80"/>
          <w:sz w:val="22"/>
          <w:szCs w:val="22"/>
        </w:rPr>
        <w:t>Roberto Arnoldo Rivera Flores</w:t>
      </w:r>
    </w:p>
    <w:p w14:paraId="67E2C679" w14:textId="77777777" w:rsidR="0065384F" w:rsidRPr="002D1DC9" w:rsidRDefault="0065384F" w:rsidP="0065384F">
      <w:pPr>
        <w:pStyle w:val="NormalWeb"/>
        <w:shd w:val="clear" w:color="auto" w:fill="FFFFFF"/>
        <w:spacing w:before="0" w:beforeAutospacing="0" w:after="0" w:afterAutospacing="0" w:line="276" w:lineRule="auto"/>
        <w:jc w:val="center"/>
        <w:rPr>
          <w:rFonts w:ascii="Book Antiqua" w:hAnsi="Book Antiqua"/>
          <w:b/>
          <w:color w:val="1F3864" w:themeColor="accent1" w:themeShade="80"/>
          <w:sz w:val="22"/>
          <w:szCs w:val="22"/>
        </w:rPr>
      </w:pPr>
      <w:r w:rsidRPr="002D1DC9">
        <w:rPr>
          <w:rFonts w:ascii="Book Antiqua" w:hAnsi="Book Antiqua"/>
          <w:b/>
          <w:color w:val="1F3864" w:themeColor="accent1" w:themeShade="80"/>
          <w:sz w:val="22"/>
          <w:szCs w:val="22"/>
        </w:rPr>
        <w:t xml:space="preserve">Oficial de Información  </w:t>
      </w:r>
    </w:p>
    <w:p w14:paraId="0662548C" w14:textId="77777777" w:rsidR="0005088B" w:rsidRPr="002D1DC9" w:rsidRDefault="0005088B">
      <w:pPr>
        <w:rPr>
          <w:color w:val="1F3864" w:themeColor="accent1" w:themeShade="80"/>
        </w:rPr>
      </w:pPr>
    </w:p>
    <w:sectPr w:rsidR="0005088B" w:rsidRPr="002D1DC9" w:rsidSect="004D5118">
      <w:pgSz w:w="12240" w:h="15840"/>
      <w:pgMar w:top="709" w:right="1183"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E2E09"/>
    <w:multiLevelType w:val="hybridMultilevel"/>
    <w:tmpl w:val="2814E25E"/>
    <w:lvl w:ilvl="0" w:tplc="86481DF6">
      <w:start w:val="1"/>
      <w:numFmt w:val="upperRoman"/>
      <w:lvlText w:val="%1."/>
      <w:lvlJc w:val="left"/>
      <w:pPr>
        <w:ind w:left="1080" w:hanging="72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6E157A0"/>
    <w:multiLevelType w:val="hybridMultilevel"/>
    <w:tmpl w:val="860E3226"/>
    <w:lvl w:ilvl="0" w:tplc="379E2E52">
      <w:start w:val="1"/>
      <w:numFmt w:val="lowerLetter"/>
      <w:lvlText w:val="%1)"/>
      <w:lvlJc w:val="left"/>
      <w:pPr>
        <w:ind w:left="1440" w:hanging="360"/>
      </w:pPr>
      <w:rPr>
        <w:rFonts w:hint="default"/>
        <w:b w:val="0"/>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84F"/>
    <w:rsid w:val="0005088B"/>
    <w:rsid w:val="002D1DC9"/>
    <w:rsid w:val="0031207C"/>
    <w:rsid w:val="0065384F"/>
    <w:rsid w:val="008A311C"/>
    <w:rsid w:val="00912FA7"/>
    <w:rsid w:val="00C326EE"/>
    <w:rsid w:val="00E0018E"/>
    <w:rsid w:val="00E23B2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EE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84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5384F"/>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6538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84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5384F"/>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6538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2862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 Josue Castro Castro</dc:creator>
  <cp:lastModifiedBy>Roberto Arnoldo Rivera Flores</cp:lastModifiedBy>
  <cp:revision>2</cp:revision>
  <dcterms:created xsi:type="dcterms:W3CDTF">2022-05-26T14:48:00Z</dcterms:created>
  <dcterms:modified xsi:type="dcterms:W3CDTF">2022-05-26T14:48:00Z</dcterms:modified>
</cp:coreProperties>
</file>