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64207" w14:textId="77777777" w:rsidR="00F6156B" w:rsidRPr="00A960D8" w:rsidRDefault="00F6156B" w:rsidP="00F6156B">
      <w:pPr>
        <w:spacing w:after="0"/>
        <w:jc w:val="center"/>
        <w:rPr>
          <w:rFonts w:ascii="Book Antiqua" w:hAnsi="Book Antiqua"/>
          <w:b/>
          <w:color w:val="2F5496" w:themeColor="accent1" w:themeShade="BF"/>
          <w:sz w:val="24"/>
          <w:szCs w:val="24"/>
        </w:rPr>
      </w:pPr>
      <w:bookmarkStart w:id="0" w:name="_GoBack"/>
      <w:bookmarkEnd w:id="0"/>
      <w:r w:rsidRPr="00A960D8">
        <w:rPr>
          <w:noProof/>
          <w:color w:val="2F5496" w:themeColor="accent1" w:themeShade="BF"/>
          <w:lang w:eastAsia="es-SV"/>
        </w:rPr>
        <w:drawing>
          <wp:anchor distT="0" distB="0" distL="114300" distR="114300" simplePos="0" relativeHeight="251659264" behindDoc="1" locked="0" layoutInCell="1" allowOverlap="1" wp14:anchorId="44DBA57A" wp14:editId="0AB5970D">
            <wp:simplePos x="0" y="0"/>
            <wp:positionH relativeFrom="column">
              <wp:posOffset>1626490</wp:posOffset>
            </wp:positionH>
            <wp:positionV relativeFrom="paragraph">
              <wp:posOffset>-175590</wp:posOffset>
            </wp:positionV>
            <wp:extent cx="2267712" cy="928970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69" cy="928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FCE7A" w14:textId="77777777" w:rsidR="00F6156B" w:rsidRPr="00A960D8" w:rsidRDefault="00F6156B" w:rsidP="00F6156B">
      <w:pPr>
        <w:spacing w:after="0"/>
        <w:jc w:val="center"/>
        <w:rPr>
          <w:rFonts w:ascii="Book Antiqua" w:hAnsi="Book Antiqua"/>
          <w:color w:val="2F5496" w:themeColor="accent1" w:themeShade="BF"/>
          <w:sz w:val="24"/>
          <w:szCs w:val="24"/>
        </w:rPr>
      </w:pPr>
    </w:p>
    <w:p w14:paraId="4740E02F" w14:textId="77777777" w:rsidR="00F6156B" w:rsidRPr="00A960D8" w:rsidRDefault="00F6156B" w:rsidP="00F6156B">
      <w:pPr>
        <w:spacing w:after="0"/>
        <w:jc w:val="center"/>
        <w:rPr>
          <w:rFonts w:ascii="Book Antiqua" w:hAnsi="Book Antiqua"/>
          <w:b/>
          <w:color w:val="2F5496" w:themeColor="accent1" w:themeShade="BF"/>
        </w:rPr>
      </w:pPr>
    </w:p>
    <w:p w14:paraId="1EE537F4" w14:textId="77777777" w:rsidR="00F6156B" w:rsidRPr="00A960D8" w:rsidRDefault="00F6156B" w:rsidP="00F6156B">
      <w:pPr>
        <w:spacing w:after="0"/>
        <w:jc w:val="center"/>
        <w:rPr>
          <w:rFonts w:ascii="Book Antiqua" w:hAnsi="Book Antiqua"/>
          <w:b/>
          <w:color w:val="2F5496" w:themeColor="accent1" w:themeShade="BF"/>
        </w:rPr>
      </w:pPr>
    </w:p>
    <w:p w14:paraId="5AA04D0D" w14:textId="77777777" w:rsidR="00F6156B" w:rsidRPr="00A960D8" w:rsidRDefault="00F6156B" w:rsidP="00F6156B">
      <w:pPr>
        <w:spacing w:after="0"/>
        <w:jc w:val="center"/>
        <w:rPr>
          <w:rFonts w:ascii="Book Antiqua" w:hAnsi="Book Antiqua"/>
          <w:b/>
          <w:color w:val="2F5496" w:themeColor="accent1" w:themeShade="BF"/>
        </w:rPr>
      </w:pPr>
    </w:p>
    <w:p w14:paraId="52B8DB84" w14:textId="77777777" w:rsidR="00F6156B" w:rsidRPr="00A960D8" w:rsidRDefault="00F6156B" w:rsidP="00F6156B">
      <w:pPr>
        <w:spacing w:after="0"/>
        <w:rPr>
          <w:rFonts w:ascii="Book Antiqua" w:hAnsi="Book Antiqua"/>
          <w:b/>
          <w:color w:val="2F5496" w:themeColor="accent1" w:themeShade="BF"/>
          <w:sz w:val="24"/>
        </w:rPr>
      </w:pPr>
    </w:p>
    <w:p w14:paraId="18CA3118" w14:textId="77777777" w:rsidR="00F6156B" w:rsidRPr="00A960D8" w:rsidRDefault="00F6156B" w:rsidP="00F6156B">
      <w:pPr>
        <w:spacing w:after="0"/>
        <w:jc w:val="center"/>
        <w:rPr>
          <w:rFonts w:ascii="Book Antiqua" w:hAnsi="Book Antiqua"/>
          <w:b/>
          <w:color w:val="2F5496" w:themeColor="accent1" w:themeShade="BF"/>
          <w:sz w:val="24"/>
        </w:rPr>
      </w:pPr>
      <w:r w:rsidRPr="00A960D8">
        <w:rPr>
          <w:rFonts w:ascii="Book Antiqua" w:hAnsi="Book Antiqua"/>
          <w:b/>
          <w:color w:val="2F5496" w:themeColor="accent1" w:themeShade="BF"/>
          <w:sz w:val="24"/>
        </w:rPr>
        <w:t>UNIDAD DE ACCESO A LA INFORMACIÓN PÚBLICA</w:t>
      </w:r>
    </w:p>
    <w:p w14:paraId="1FCA2CE7" w14:textId="28477746" w:rsidR="00F6156B" w:rsidRPr="00A960D8" w:rsidRDefault="00F6156B" w:rsidP="00F6156B">
      <w:pPr>
        <w:spacing w:after="0"/>
        <w:jc w:val="center"/>
        <w:rPr>
          <w:rFonts w:ascii="Book Antiqua" w:hAnsi="Book Antiqua"/>
          <w:b/>
          <w:color w:val="2F5496" w:themeColor="accent1" w:themeShade="BF"/>
          <w:sz w:val="20"/>
        </w:rPr>
      </w:pPr>
      <w:r w:rsidRPr="00A960D8">
        <w:rPr>
          <w:rFonts w:ascii="Book Antiqua" w:hAnsi="Book Antiqua"/>
          <w:b/>
          <w:color w:val="2F5496" w:themeColor="accent1" w:themeShade="BF"/>
          <w:sz w:val="20"/>
        </w:rPr>
        <w:t>RESOLUCIÓN No. 002</w:t>
      </w:r>
      <w:r w:rsidR="00EA41D8" w:rsidRPr="00A960D8">
        <w:rPr>
          <w:rFonts w:ascii="Book Antiqua" w:hAnsi="Book Antiqua"/>
          <w:b/>
          <w:color w:val="2F5496" w:themeColor="accent1" w:themeShade="BF"/>
          <w:sz w:val="20"/>
        </w:rPr>
        <w:t>7</w:t>
      </w:r>
      <w:r w:rsidRPr="00A960D8">
        <w:rPr>
          <w:rFonts w:ascii="Book Antiqua" w:hAnsi="Book Antiqua"/>
          <w:b/>
          <w:color w:val="2F5496" w:themeColor="accent1" w:themeShade="BF"/>
          <w:sz w:val="20"/>
        </w:rPr>
        <w:t>-2022</w:t>
      </w:r>
    </w:p>
    <w:p w14:paraId="2A2962D3" w14:textId="77777777" w:rsidR="00F6156B" w:rsidRPr="00A960D8" w:rsidRDefault="00F6156B" w:rsidP="00F6156B">
      <w:pPr>
        <w:spacing w:after="0"/>
        <w:jc w:val="center"/>
        <w:rPr>
          <w:rFonts w:ascii="Book Antiqua" w:hAnsi="Book Antiqua"/>
          <w:b/>
          <w:color w:val="2F5496" w:themeColor="accent1" w:themeShade="BF"/>
          <w:sz w:val="24"/>
        </w:rPr>
      </w:pPr>
    </w:p>
    <w:p w14:paraId="10C10861" w14:textId="77777777" w:rsidR="00F6156B" w:rsidRPr="00A960D8" w:rsidRDefault="00F6156B" w:rsidP="00F6156B">
      <w:pPr>
        <w:spacing w:after="0"/>
        <w:jc w:val="center"/>
        <w:rPr>
          <w:rFonts w:ascii="Book Antiqua" w:hAnsi="Book Antiqua"/>
          <w:b/>
          <w:color w:val="2F5496" w:themeColor="accent1" w:themeShade="BF"/>
        </w:rPr>
      </w:pPr>
    </w:p>
    <w:p w14:paraId="586B2EE7" w14:textId="11EF7B38" w:rsidR="00F6156B" w:rsidRPr="00A960D8" w:rsidRDefault="00F6156B" w:rsidP="00F6156B">
      <w:pPr>
        <w:jc w:val="right"/>
        <w:rPr>
          <w:rFonts w:ascii="Book Antiqua" w:hAnsi="Book Antiqua"/>
          <w:b/>
          <w:color w:val="2F5496" w:themeColor="accent1" w:themeShade="BF"/>
          <w:lang w:val="es-ES" w:eastAsia="es-ES"/>
        </w:rPr>
      </w:pPr>
      <w:r w:rsidRPr="00A960D8">
        <w:rPr>
          <w:rFonts w:ascii="Book Antiqua" w:hAnsi="Book Antiqua"/>
          <w:b/>
          <w:color w:val="2F5496" w:themeColor="accent1" w:themeShade="BF"/>
          <w:lang w:val="es-ES" w:eastAsia="es-ES"/>
        </w:rPr>
        <w:t>MIGOBDT-002</w:t>
      </w:r>
      <w:r w:rsidR="00EA41D8" w:rsidRPr="00A960D8">
        <w:rPr>
          <w:rFonts w:ascii="Book Antiqua" w:hAnsi="Book Antiqua"/>
          <w:b/>
          <w:color w:val="2F5496" w:themeColor="accent1" w:themeShade="BF"/>
          <w:lang w:val="es-ES" w:eastAsia="es-ES"/>
        </w:rPr>
        <w:t>4</w:t>
      </w:r>
      <w:r w:rsidRPr="00A960D8">
        <w:rPr>
          <w:rFonts w:ascii="Book Antiqua" w:hAnsi="Book Antiqua"/>
          <w:b/>
          <w:color w:val="2F5496" w:themeColor="accent1" w:themeShade="BF"/>
          <w:lang w:val="es-ES" w:eastAsia="es-ES"/>
        </w:rPr>
        <w:t>-2022</w:t>
      </w:r>
    </w:p>
    <w:p w14:paraId="22F34091" w14:textId="77777777" w:rsidR="00F6156B" w:rsidRPr="00A960D8" w:rsidRDefault="00F6156B" w:rsidP="00F6156B">
      <w:pPr>
        <w:jc w:val="right"/>
        <w:rPr>
          <w:rFonts w:ascii="Book Antiqua" w:hAnsi="Book Antiqua"/>
          <w:b/>
          <w:color w:val="2F5496" w:themeColor="accent1" w:themeShade="BF"/>
          <w:lang w:val="es-ES" w:eastAsia="es-ES"/>
        </w:rPr>
      </w:pPr>
    </w:p>
    <w:p w14:paraId="6900BCAF" w14:textId="7F174D8E" w:rsidR="00F6156B" w:rsidRPr="00A960D8" w:rsidRDefault="00F6156B" w:rsidP="00F6156B">
      <w:pPr>
        <w:jc w:val="both"/>
        <w:rPr>
          <w:rFonts w:ascii="Book Antiqua" w:hAnsi="Book Antiqua"/>
          <w:color w:val="2F5496" w:themeColor="accent1" w:themeShade="BF"/>
          <w:sz w:val="23"/>
          <w:szCs w:val="23"/>
        </w:rPr>
      </w:pPr>
      <w:r w:rsidRPr="00A960D8">
        <w:rPr>
          <w:rFonts w:ascii="Book Antiqua" w:hAnsi="Book Antiqua"/>
          <w:color w:val="2F5496" w:themeColor="accent1" w:themeShade="BF"/>
          <w:sz w:val="23"/>
          <w:szCs w:val="23"/>
          <w:lang w:val="es-ES" w:eastAsia="es-ES"/>
        </w:rPr>
        <w:t xml:space="preserve">En </w:t>
      </w:r>
      <w:r w:rsidRPr="00A960D8">
        <w:rPr>
          <w:rFonts w:ascii="Book Antiqua" w:hAnsi="Book Antiqua"/>
          <w:color w:val="2F5496" w:themeColor="accent1" w:themeShade="BF"/>
          <w:sz w:val="23"/>
          <w:szCs w:val="23"/>
        </w:rPr>
        <w:t xml:space="preserve">la Unidad de Acceso a la Información Pública del Ministerio de Gobernación y Desarrollo Territorial: San Salvador, a las </w:t>
      </w:r>
      <w:r w:rsidR="00EA41D8" w:rsidRPr="00A960D8">
        <w:rPr>
          <w:rFonts w:ascii="Book Antiqua" w:hAnsi="Book Antiqua"/>
          <w:color w:val="2F5496" w:themeColor="accent1" w:themeShade="BF"/>
          <w:sz w:val="23"/>
          <w:szCs w:val="23"/>
        </w:rPr>
        <w:t>catorce</w:t>
      </w:r>
      <w:r w:rsidRPr="00A960D8">
        <w:rPr>
          <w:rFonts w:ascii="Book Antiqua" w:hAnsi="Book Antiqua"/>
          <w:color w:val="2F5496" w:themeColor="accent1" w:themeShade="BF"/>
          <w:sz w:val="23"/>
          <w:szCs w:val="23"/>
        </w:rPr>
        <w:t xml:space="preserve"> horas y treinta minutos del </w:t>
      </w:r>
      <w:r w:rsidR="00EA41D8" w:rsidRPr="00A960D8">
        <w:rPr>
          <w:rFonts w:ascii="Book Antiqua" w:hAnsi="Book Antiqua"/>
          <w:color w:val="2F5496" w:themeColor="accent1" w:themeShade="BF"/>
          <w:sz w:val="23"/>
          <w:szCs w:val="23"/>
        </w:rPr>
        <w:t>cinco</w:t>
      </w:r>
      <w:r w:rsidRPr="00A960D8">
        <w:rPr>
          <w:rFonts w:ascii="Book Antiqua" w:hAnsi="Book Antiqua"/>
          <w:color w:val="2F5496" w:themeColor="accent1" w:themeShade="BF"/>
          <w:sz w:val="23"/>
          <w:szCs w:val="23"/>
        </w:rPr>
        <w:t xml:space="preserve"> de mayo de dos mil veintidós. </w:t>
      </w:r>
      <w:r w:rsidRPr="00A960D8">
        <w:rPr>
          <w:rFonts w:ascii="Book Antiqua" w:hAnsi="Book Antiqua"/>
          <w:b/>
          <w:color w:val="2F5496" w:themeColor="accent1" w:themeShade="BF"/>
          <w:sz w:val="23"/>
          <w:szCs w:val="23"/>
        </w:rPr>
        <w:t>CONSIDERANDO</w:t>
      </w:r>
      <w:r w:rsidRPr="00A960D8">
        <w:rPr>
          <w:rFonts w:ascii="Book Antiqua" w:hAnsi="Book Antiqua"/>
          <w:color w:val="2F5496" w:themeColor="accent1" w:themeShade="BF"/>
          <w:sz w:val="23"/>
          <w:szCs w:val="23"/>
        </w:rPr>
        <w:t xml:space="preserve">: </w:t>
      </w:r>
    </w:p>
    <w:p w14:paraId="5C5386C0" w14:textId="6AB6BBF6" w:rsidR="00F6156B" w:rsidRPr="00A960D8" w:rsidRDefault="00F6156B" w:rsidP="00F6156B">
      <w:pPr>
        <w:pStyle w:val="Prrafodelista"/>
        <w:numPr>
          <w:ilvl w:val="0"/>
          <w:numId w:val="1"/>
        </w:numPr>
        <w:ind w:left="851" w:hanging="491"/>
        <w:jc w:val="both"/>
        <w:rPr>
          <w:rFonts w:ascii="Book Antiqua" w:hAnsi="Book Antiqua"/>
          <w:b/>
          <w:color w:val="2F5496" w:themeColor="accent1" w:themeShade="BF"/>
          <w:sz w:val="23"/>
          <w:szCs w:val="23"/>
          <w:lang w:val="es-ES" w:eastAsia="es-ES"/>
        </w:rPr>
      </w:pPr>
      <w:r w:rsidRPr="00A960D8">
        <w:rPr>
          <w:rFonts w:ascii="Book Antiqua" w:hAnsi="Book Antiqua"/>
          <w:color w:val="2F5496" w:themeColor="accent1" w:themeShade="BF"/>
          <w:sz w:val="23"/>
          <w:szCs w:val="23"/>
        </w:rPr>
        <w:t xml:space="preserve"> </w:t>
      </w:r>
      <w:r w:rsidRPr="00A960D8">
        <w:rPr>
          <w:rFonts w:ascii="Book Antiqua" w:hAnsi="Book Antiqua"/>
          <w:color w:val="2F5496" w:themeColor="accent1" w:themeShade="BF"/>
          <w:sz w:val="23"/>
          <w:szCs w:val="23"/>
          <w:lang w:val="es-ES" w:eastAsia="es-ES"/>
        </w:rPr>
        <w:t>Que, el veinti</w:t>
      </w:r>
      <w:r w:rsidR="00EA41D8" w:rsidRPr="00A960D8">
        <w:rPr>
          <w:rFonts w:ascii="Book Antiqua" w:hAnsi="Book Antiqua"/>
          <w:color w:val="2F5496" w:themeColor="accent1" w:themeShade="BF"/>
          <w:sz w:val="23"/>
          <w:szCs w:val="23"/>
          <w:lang w:val="es-ES" w:eastAsia="es-ES"/>
        </w:rPr>
        <w:t>uno</w:t>
      </w:r>
      <w:r w:rsidRPr="00A960D8">
        <w:rPr>
          <w:rFonts w:ascii="Book Antiqua" w:hAnsi="Book Antiqua"/>
          <w:color w:val="2F5496" w:themeColor="accent1" w:themeShade="BF"/>
          <w:sz w:val="23"/>
          <w:szCs w:val="23"/>
          <w:lang w:val="es-ES" w:eastAsia="es-ES"/>
        </w:rPr>
        <w:t xml:space="preserve"> de abril del presente año, se recibió vía correo electrónico, la solicitud de información con referencia MIGOBDT 002</w:t>
      </w:r>
      <w:r w:rsidR="00EA41D8" w:rsidRPr="00A960D8">
        <w:rPr>
          <w:rFonts w:ascii="Book Antiqua" w:hAnsi="Book Antiqua"/>
          <w:color w:val="2F5496" w:themeColor="accent1" w:themeShade="BF"/>
          <w:sz w:val="23"/>
          <w:szCs w:val="23"/>
          <w:lang w:val="es-ES" w:eastAsia="es-ES"/>
        </w:rPr>
        <w:t>4</w:t>
      </w:r>
      <w:r w:rsidRPr="00A960D8">
        <w:rPr>
          <w:rFonts w:ascii="Book Antiqua" w:hAnsi="Book Antiqua"/>
          <w:color w:val="2F5496" w:themeColor="accent1" w:themeShade="BF"/>
          <w:sz w:val="23"/>
          <w:szCs w:val="23"/>
          <w:lang w:val="es-ES" w:eastAsia="es-ES"/>
        </w:rPr>
        <w:t>-2022. Lo anterior, en virtud de lo establecido en el Art. 66 de la Ley de Acceso a la Información Pública (LAIP) y Art. 71 de la Ley de Procedimientos Administrativos (LPA).</w:t>
      </w:r>
    </w:p>
    <w:p w14:paraId="0B655349" w14:textId="77777777" w:rsidR="00F6156B" w:rsidRPr="00A960D8" w:rsidRDefault="00F6156B" w:rsidP="00F6156B">
      <w:pPr>
        <w:pStyle w:val="Prrafodelista"/>
        <w:ind w:left="851" w:hanging="491"/>
        <w:jc w:val="both"/>
        <w:rPr>
          <w:rFonts w:ascii="Book Antiqua" w:hAnsi="Book Antiqua"/>
          <w:b/>
          <w:color w:val="2F5496" w:themeColor="accent1" w:themeShade="BF"/>
          <w:sz w:val="23"/>
          <w:szCs w:val="23"/>
          <w:lang w:val="es-ES" w:eastAsia="es-ES"/>
        </w:rPr>
      </w:pPr>
    </w:p>
    <w:p w14:paraId="4938E1B3" w14:textId="2B583276" w:rsidR="00F6156B" w:rsidRPr="00A960D8" w:rsidRDefault="00F6156B" w:rsidP="00F6156B">
      <w:pPr>
        <w:pStyle w:val="Prrafodelista"/>
        <w:numPr>
          <w:ilvl w:val="0"/>
          <w:numId w:val="1"/>
        </w:numPr>
        <w:ind w:left="851" w:hanging="491"/>
        <w:jc w:val="both"/>
        <w:rPr>
          <w:rFonts w:ascii="Book Antiqua" w:hAnsi="Book Antiqua"/>
          <w:b/>
          <w:color w:val="2F5496" w:themeColor="accent1" w:themeShade="BF"/>
          <w:sz w:val="23"/>
          <w:szCs w:val="23"/>
          <w:lang w:val="es-ES" w:eastAsia="es-ES"/>
        </w:rPr>
      </w:pPr>
      <w:r w:rsidRPr="00A960D8">
        <w:rPr>
          <w:rFonts w:ascii="Book Antiqua" w:hAnsi="Book Antiqua"/>
          <w:color w:val="2F5496" w:themeColor="accent1" w:themeShade="BF"/>
          <w:sz w:val="23"/>
          <w:szCs w:val="23"/>
          <w:lang w:val="es-ES" w:eastAsia="es-ES"/>
        </w:rPr>
        <w:t xml:space="preserve">Atendiendo a lo antes expuesto, en la solicitud de información se requirió la       información consistente en: </w:t>
      </w:r>
      <w:r w:rsidRPr="00A960D8">
        <w:rPr>
          <w:rFonts w:ascii="Book Antiqua" w:hAnsi="Book Antiqua"/>
          <w:i/>
          <w:color w:val="2F5496" w:themeColor="accent1" w:themeShade="BF"/>
          <w:sz w:val="24"/>
          <w:szCs w:val="24"/>
          <w:lang w:val="es-ES_tradnl"/>
        </w:rPr>
        <w:t>“</w:t>
      </w:r>
      <w:r w:rsidR="00787C91" w:rsidRPr="00A960D8">
        <w:rPr>
          <w:rFonts w:ascii="Book Antiqua" w:hAnsi="Book Antiqua" w:cs="Arial"/>
          <w:i/>
          <w:iCs/>
          <w:color w:val="2F5496" w:themeColor="accent1" w:themeShade="BF"/>
          <w:sz w:val="24"/>
          <w:szCs w:val="24"/>
          <w:shd w:val="clear" w:color="auto" w:fill="FEFEFE"/>
        </w:rPr>
        <w:t>Tengo el agrado de dirigirme a Usted para solicitar para fines académicos, listado de Asociaciones y Fundaciones especializadas en temas de género de El Salvador y si es posible algún contacto como correo o página web</w:t>
      </w:r>
      <w:r w:rsidRPr="00A960D8">
        <w:rPr>
          <w:rFonts w:ascii="Book Antiqua" w:hAnsi="Book Antiqua"/>
          <w:i/>
          <w:color w:val="2F5496" w:themeColor="accent1" w:themeShade="BF"/>
          <w:sz w:val="24"/>
          <w:szCs w:val="24"/>
          <w:lang w:val="es-ES_tradnl"/>
        </w:rPr>
        <w:t>”.</w:t>
      </w:r>
    </w:p>
    <w:p w14:paraId="26376320" w14:textId="77777777" w:rsidR="00F6156B" w:rsidRPr="00A960D8" w:rsidRDefault="00F6156B" w:rsidP="00F6156B">
      <w:pPr>
        <w:pStyle w:val="Prrafodelista"/>
        <w:tabs>
          <w:tab w:val="left" w:pos="2506"/>
          <w:tab w:val="left" w:pos="3418"/>
        </w:tabs>
        <w:ind w:left="851" w:hanging="491"/>
        <w:jc w:val="both"/>
        <w:rPr>
          <w:rFonts w:ascii="Times New Roman" w:eastAsia="Times New Roman" w:hAnsi="Times New Roman" w:cs="Times New Roman"/>
          <w:i/>
          <w:color w:val="2F5496" w:themeColor="accent1" w:themeShade="BF"/>
          <w:sz w:val="23"/>
          <w:szCs w:val="23"/>
          <w:lang w:val="es-ES_tradnl" w:eastAsia="es-ES_tradnl"/>
        </w:rPr>
      </w:pPr>
    </w:p>
    <w:p w14:paraId="35E286F6" w14:textId="467C2B98" w:rsidR="00F6156B" w:rsidRPr="00A960D8" w:rsidRDefault="00F6156B" w:rsidP="00F6156B">
      <w:pPr>
        <w:pStyle w:val="Prrafodelista"/>
        <w:numPr>
          <w:ilvl w:val="0"/>
          <w:numId w:val="1"/>
        </w:numPr>
        <w:spacing w:after="0"/>
        <w:ind w:left="851" w:hanging="491"/>
        <w:jc w:val="both"/>
        <w:rPr>
          <w:rFonts w:ascii="Book Antiqua" w:hAnsi="Book Antiqua"/>
          <w:b/>
          <w:color w:val="2F5496" w:themeColor="accent1" w:themeShade="BF"/>
          <w:sz w:val="23"/>
          <w:szCs w:val="23"/>
          <w:lang w:val="es-ES" w:eastAsia="es-ES"/>
        </w:rPr>
      </w:pPr>
      <w:r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>Que,</w:t>
      </w:r>
      <w:r w:rsidR="00787C91"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 xml:space="preserve"> </w:t>
      </w:r>
      <w:r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 xml:space="preserve">en fecha </w:t>
      </w:r>
      <w:r w:rsidR="00787C91"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>cinco</w:t>
      </w:r>
      <w:r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 xml:space="preserve"> de mayo del presente año; con base al artículo 71 de la Ley de Acceso a la Información Pública,</w:t>
      </w:r>
      <w:r w:rsidR="00787C91"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 xml:space="preserve"> </w:t>
      </w:r>
      <w:r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>la Unidades Administrativa Facultada</w:t>
      </w:r>
      <w:r w:rsidR="00787C91"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 xml:space="preserve"> </w:t>
      </w:r>
      <w:r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>inform</w:t>
      </w:r>
      <w:r w:rsidR="00787C91"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>ó</w:t>
      </w:r>
      <w:r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 xml:space="preserve"> a esta Unidad de Acceso a la Información Pública, lo siguiente: </w:t>
      </w:r>
      <w:r w:rsidRPr="00A960D8">
        <w:rPr>
          <w:rFonts w:ascii="Book Antiqua" w:hAnsi="Book Antiqua"/>
          <w:i/>
          <w:color w:val="2F5496" w:themeColor="accent1" w:themeShade="BF"/>
          <w:sz w:val="23"/>
          <w:szCs w:val="23"/>
          <w:lang w:eastAsia="es-ES"/>
        </w:rPr>
        <w:t>“</w:t>
      </w:r>
      <w:r w:rsidR="00787C91" w:rsidRPr="00A960D8">
        <w:rPr>
          <w:rFonts w:ascii="Book Antiqua" w:hAnsi="Book Antiqua"/>
          <w:i/>
          <w:color w:val="2F5496" w:themeColor="accent1" w:themeShade="BF"/>
          <w:sz w:val="23"/>
          <w:szCs w:val="23"/>
          <w:lang w:eastAsia="es-ES"/>
        </w:rPr>
        <w:t>Se remite listado con las entidades que se enfocan en la mujeres, desarrollo humano,</w:t>
      </w:r>
      <w:r w:rsidR="006F53CD" w:rsidRPr="00A960D8">
        <w:rPr>
          <w:rFonts w:ascii="Book Antiqua" w:hAnsi="Book Antiqua"/>
          <w:i/>
          <w:color w:val="2F5496" w:themeColor="accent1" w:themeShade="BF"/>
          <w:sz w:val="23"/>
          <w:szCs w:val="23"/>
          <w:lang w:eastAsia="es-ES"/>
        </w:rPr>
        <w:t xml:space="preserve"> </w:t>
      </w:r>
      <w:r w:rsidR="00787C91" w:rsidRPr="00A960D8">
        <w:rPr>
          <w:rFonts w:ascii="Book Antiqua" w:hAnsi="Book Antiqua"/>
          <w:i/>
          <w:color w:val="2F5496" w:themeColor="accent1" w:themeShade="BF"/>
          <w:sz w:val="23"/>
          <w:szCs w:val="23"/>
          <w:lang w:eastAsia="es-ES"/>
        </w:rPr>
        <w:t>lgbt y otros</w:t>
      </w:r>
      <w:r w:rsidR="006F53CD" w:rsidRPr="00A960D8">
        <w:rPr>
          <w:rFonts w:ascii="Book Antiqua" w:hAnsi="Book Antiqua"/>
          <w:i/>
          <w:color w:val="2F5496" w:themeColor="accent1" w:themeShade="BF"/>
          <w:sz w:val="23"/>
          <w:szCs w:val="23"/>
          <w:lang w:eastAsia="es-ES"/>
        </w:rPr>
        <w:t>. Es de acotar que en el sistema no se tiene una clasificación específicamente relacionada al tema de género. Asimismo, aclarar que algunos de los números de teléfono y correos electrónicos pertenecen a los despachos jurídicos que tramitaron la pe</w:t>
      </w:r>
      <w:r w:rsidR="00DF4588" w:rsidRPr="00A960D8">
        <w:rPr>
          <w:rFonts w:ascii="Book Antiqua" w:hAnsi="Book Antiqua"/>
          <w:i/>
          <w:color w:val="2F5496" w:themeColor="accent1" w:themeShade="BF"/>
          <w:sz w:val="23"/>
          <w:szCs w:val="23"/>
          <w:lang w:eastAsia="es-ES"/>
        </w:rPr>
        <w:t>rsonalidad</w:t>
      </w:r>
      <w:r w:rsidR="006F53CD" w:rsidRPr="00A960D8">
        <w:rPr>
          <w:rFonts w:ascii="Book Antiqua" w:hAnsi="Book Antiqua"/>
          <w:i/>
          <w:color w:val="2F5496" w:themeColor="accent1" w:themeShade="BF"/>
          <w:sz w:val="23"/>
          <w:szCs w:val="23"/>
          <w:lang w:eastAsia="es-ES"/>
        </w:rPr>
        <w:t xml:space="preserve"> jurídica en su caso y que las entidades no han actualizado a la fecha</w:t>
      </w:r>
      <w:r w:rsidRPr="00A960D8">
        <w:rPr>
          <w:rFonts w:ascii="Book Antiqua" w:hAnsi="Book Antiqua"/>
          <w:i/>
          <w:color w:val="2F5496" w:themeColor="accent1" w:themeShade="BF"/>
          <w:sz w:val="23"/>
          <w:szCs w:val="23"/>
          <w:lang w:eastAsia="es-ES"/>
        </w:rPr>
        <w:t xml:space="preserve">”. </w:t>
      </w:r>
    </w:p>
    <w:p w14:paraId="4E605805" w14:textId="77777777" w:rsidR="00F6156B" w:rsidRPr="00A960D8" w:rsidRDefault="00F6156B" w:rsidP="00F6156B">
      <w:pPr>
        <w:spacing w:after="0"/>
        <w:ind w:left="851" w:hanging="491"/>
        <w:jc w:val="both"/>
        <w:rPr>
          <w:rFonts w:ascii="Book Antiqua" w:hAnsi="Book Antiqua"/>
          <w:b/>
          <w:color w:val="2F5496" w:themeColor="accent1" w:themeShade="BF"/>
          <w:sz w:val="23"/>
          <w:szCs w:val="23"/>
          <w:lang w:val="es-ES" w:eastAsia="es-ES"/>
        </w:rPr>
      </w:pPr>
    </w:p>
    <w:p w14:paraId="611D8AAF" w14:textId="4FB4875B" w:rsidR="00F6156B" w:rsidRPr="00A960D8" w:rsidRDefault="00F6156B" w:rsidP="00F6156B">
      <w:pPr>
        <w:pStyle w:val="Prrafodelista"/>
        <w:numPr>
          <w:ilvl w:val="0"/>
          <w:numId w:val="1"/>
        </w:numPr>
        <w:spacing w:after="0"/>
        <w:ind w:left="851" w:hanging="491"/>
        <w:jc w:val="both"/>
        <w:rPr>
          <w:rFonts w:ascii="Book Antiqua" w:hAnsi="Book Antiqua"/>
          <w:b/>
          <w:color w:val="2F5496" w:themeColor="accent1" w:themeShade="BF"/>
          <w:sz w:val="23"/>
          <w:szCs w:val="23"/>
          <w:lang w:val="es-ES" w:eastAsia="es-ES"/>
        </w:rPr>
      </w:pPr>
      <w:r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 xml:space="preserve">Con base a los artículos 62 de la Ley de Acceso a la Información Pública y al Art. 57 del Reglamento de la Ley de Acceso a la Información Pública, se le notificará al solicitante vía correo electrónico el cual fue establecido en la solicitud de información; y, a sus efectos, la presente contiene de forma digital un ejemplar de </w:t>
      </w:r>
      <w:r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lastRenderedPageBreak/>
        <w:t xml:space="preserve">esta resolución debidamente firmada y sellada por el Oficial de Información; así como </w:t>
      </w:r>
      <w:r w:rsidR="006F53CD"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>un</w:t>
      </w:r>
      <w:r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 xml:space="preserve"> archivo en formato PDF</w:t>
      </w:r>
      <w:r w:rsidR="00C70A98"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 xml:space="preserve"> </w:t>
      </w:r>
      <w:r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 xml:space="preserve">de </w:t>
      </w:r>
      <w:r w:rsidR="00C70A98"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>dos</w:t>
      </w:r>
      <w:r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 xml:space="preserve"> folio</w:t>
      </w:r>
      <w:r w:rsidR="00C70A98"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>s frente y vuelto</w:t>
      </w:r>
      <w:r w:rsidR="00A0668D"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>,</w:t>
      </w:r>
      <w:r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 xml:space="preserve"> que contiene:</w:t>
      </w:r>
      <w:r w:rsidR="00C70A98"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 xml:space="preserve"> Un Listado de ciento treinta y ocho Asociaciones y Fundaciones / Mujer/ Desarrollo Humano / </w:t>
      </w:r>
      <w:r w:rsidR="00A0668D"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>LGBT;</w:t>
      </w:r>
      <w:r w:rsidR="00C70A98"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 xml:space="preserve"> </w:t>
      </w:r>
      <w:r w:rsidR="00B72CD0"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>el cual describe e identifica</w:t>
      </w:r>
      <w:r w:rsidR="00A0668D"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>:</w:t>
      </w:r>
      <w:r w:rsidR="00C70A98"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 xml:space="preserve"> Nombre</w:t>
      </w:r>
      <w:r w:rsidR="00B72CD0"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 xml:space="preserve"> de la entidad</w:t>
      </w:r>
      <w:r w:rsidR="00C70A98"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 xml:space="preserve">, Abreviatura, </w:t>
      </w:r>
      <w:r w:rsidR="00F40831"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>Teléfono</w:t>
      </w:r>
      <w:r w:rsidR="00C70A98"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 xml:space="preserve">, Celular y Correo </w:t>
      </w:r>
      <w:r w:rsidR="00F40831"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>Electrónico</w:t>
      </w:r>
      <w:r w:rsidR="00B72CD0"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>.</w:t>
      </w:r>
    </w:p>
    <w:p w14:paraId="455E57BB" w14:textId="77777777" w:rsidR="00F6156B" w:rsidRPr="00A960D8" w:rsidRDefault="00F6156B" w:rsidP="00F6156B">
      <w:pPr>
        <w:pStyle w:val="Prrafodelista"/>
        <w:ind w:left="851" w:hanging="491"/>
        <w:jc w:val="both"/>
        <w:rPr>
          <w:rFonts w:ascii="Book Antiqua" w:hAnsi="Book Antiqua"/>
          <w:b/>
          <w:color w:val="2F5496" w:themeColor="accent1" w:themeShade="BF"/>
          <w:sz w:val="23"/>
          <w:szCs w:val="23"/>
          <w:lang w:val="es-ES" w:eastAsia="es-ES"/>
        </w:rPr>
      </w:pPr>
    </w:p>
    <w:p w14:paraId="4F5879F3" w14:textId="77777777" w:rsidR="00F6156B" w:rsidRPr="00A960D8" w:rsidRDefault="00F6156B" w:rsidP="00F6156B">
      <w:pPr>
        <w:pStyle w:val="Prrafodelista"/>
        <w:numPr>
          <w:ilvl w:val="0"/>
          <w:numId w:val="1"/>
        </w:numPr>
        <w:ind w:left="851" w:hanging="491"/>
        <w:jc w:val="both"/>
        <w:rPr>
          <w:rFonts w:ascii="Book Antiqua" w:hAnsi="Book Antiqua"/>
          <w:b/>
          <w:color w:val="2F5496" w:themeColor="accent1" w:themeShade="BF"/>
          <w:sz w:val="23"/>
          <w:szCs w:val="23"/>
          <w:lang w:val="es-ES" w:eastAsia="es-ES"/>
        </w:rPr>
      </w:pPr>
      <w:r w:rsidRPr="00A960D8">
        <w:rPr>
          <w:rFonts w:ascii="Book Antiqua" w:hAnsi="Book Antiqua"/>
          <w:b/>
          <w:color w:val="2F5496" w:themeColor="accent1" w:themeShade="BF"/>
          <w:sz w:val="23"/>
          <w:szCs w:val="23"/>
          <w:lang w:eastAsia="es-ES"/>
        </w:rPr>
        <w:t xml:space="preserve">Por tanto, </w:t>
      </w:r>
      <w:r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 xml:space="preserve">de conformidad con las razones antes expuestas y disposiciones legales citadas, y con base al artículo 72 letra “c” de la LAIP, </w:t>
      </w:r>
      <w:r w:rsidRPr="00A960D8">
        <w:rPr>
          <w:rFonts w:ascii="Book Antiqua" w:hAnsi="Book Antiqua"/>
          <w:b/>
          <w:color w:val="2F5496" w:themeColor="accent1" w:themeShade="BF"/>
          <w:sz w:val="23"/>
          <w:szCs w:val="23"/>
          <w:lang w:eastAsia="es-ES"/>
        </w:rPr>
        <w:t>resuelvo:</w:t>
      </w:r>
      <w:r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 xml:space="preserve"> </w:t>
      </w:r>
    </w:p>
    <w:p w14:paraId="104B3107" w14:textId="77777777" w:rsidR="00F6156B" w:rsidRPr="00A960D8" w:rsidRDefault="00F6156B" w:rsidP="00F6156B">
      <w:pPr>
        <w:pStyle w:val="Prrafodelista"/>
        <w:ind w:left="851" w:hanging="491"/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</w:pPr>
    </w:p>
    <w:p w14:paraId="2FA4938A" w14:textId="77777777" w:rsidR="00F6156B" w:rsidRPr="00A960D8" w:rsidRDefault="00F6156B" w:rsidP="00F6156B">
      <w:pPr>
        <w:pStyle w:val="Prrafodelista"/>
        <w:numPr>
          <w:ilvl w:val="0"/>
          <w:numId w:val="2"/>
        </w:numPr>
        <w:ind w:left="851" w:hanging="491"/>
        <w:jc w:val="both"/>
        <w:rPr>
          <w:rFonts w:ascii="Book Antiqua" w:hAnsi="Book Antiqua"/>
          <w:b/>
          <w:color w:val="2F5496" w:themeColor="accent1" w:themeShade="BF"/>
          <w:sz w:val="23"/>
          <w:szCs w:val="23"/>
          <w:lang w:val="es-ES" w:eastAsia="es-ES"/>
        </w:rPr>
      </w:pPr>
      <w:r w:rsidRPr="00A960D8">
        <w:rPr>
          <w:rFonts w:ascii="Book Antiqua" w:hAnsi="Book Antiqua"/>
          <w:b/>
          <w:color w:val="2F5496" w:themeColor="accent1" w:themeShade="BF"/>
          <w:sz w:val="23"/>
          <w:szCs w:val="23"/>
          <w:lang w:eastAsia="es-ES"/>
        </w:rPr>
        <w:t>Conceder el acceso a la información solicitada por medio de esta resolución</w:t>
      </w:r>
      <w:r w:rsidRPr="00A960D8">
        <w:rPr>
          <w:rFonts w:ascii="Book Antiqua" w:hAnsi="Book Antiqua"/>
          <w:color w:val="2F5496" w:themeColor="accent1" w:themeShade="BF"/>
          <w:sz w:val="23"/>
          <w:szCs w:val="23"/>
          <w:lang w:eastAsia="es-ES"/>
        </w:rPr>
        <w:t xml:space="preserve">. </w:t>
      </w:r>
    </w:p>
    <w:p w14:paraId="57BCDF3C" w14:textId="77777777" w:rsidR="00F6156B" w:rsidRPr="00A960D8" w:rsidRDefault="00F6156B" w:rsidP="00F6156B">
      <w:pPr>
        <w:pStyle w:val="Prrafodelista"/>
        <w:ind w:left="851" w:hanging="491"/>
        <w:jc w:val="both"/>
        <w:rPr>
          <w:rFonts w:ascii="Book Antiqua" w:hAnsi="Book Antiqua"/>
          <w:b/>
          <w:color w:val="2F5496" w:themeColor="accent1" w:themeShade="BF"/>
          <w:sz w:val="23"/>
          <w:szCs w:val="23"/>
          <w:lang w:val="es-ES" w:eastAsia="es-ES"/>
        </w:rPr>
      </w:pPr>
      <w:r w:rsidRPr="00A960D8">
        <w:rPr>
          <w:rFonts w:ascii="Book Antiqua" w:hAnsi="Book Antiqua"/>
          <w:b/>
          <w:color w:val="2F5496" w:themeColor="accent1" w:themeShade="BF"/>
          <w:sz w:val="23"/>
          <w:szCs w:val="23"/>
          <w:lang w:eastAsia="es-ES"/>
        </w:rPr>
        <w:t xml:space="preserve"> </w:t>
      </w:r>
    </w:p>
    <w:p w14:paraId="03CCF34B" w14:textId="77777777" w:rsidR="00F6156B" w:rsidRPr="00A960D8" w:rsidRDefault="00F6156B" w:rsidP="00F6156B">
      <w:pPr>
        <w:pStyle w:val="Prrafodelista"/>
        <w:numPr>
          <w:ilvl w:val="0"/>
          <w:numId w:val="2"/>
        </w:numPr>
        <w:ind w:left="851" w:hanging="491"/>
        <w:jc w:val="both"/>
        <w:rPr>
          <w:rFonts w:ascii="Book Antiqua" w:hAnsi="Book Antiqua"/>
          <w:b/>
          <w:color w:val="2F5496" w:themeColor="accent1" w:themeShade="BF"/>
          <w:sz w:val="23"/>
          <w:szCs w:val="23"/>
          <w:lang w:val="es-ES" w:eastAsia="es-ES"/>
        </w:rPr>
      </w:pPr>
      <w:r w:rsidRPr="00A960D8">
        <w:rPr>
          <w:rFonts w:ascii="Book Antiqua" w:hAnsi="Book Antiqua"/>
          <w:b/>
          <w:color w:val="2F5496" w:themeColor="accent1" w:themeShade="BF"/>
          <w:sz w:val="23"/>
          <w:szCs w:val="23"/>
          <w:lang w:val="es-ES" w:eastAsia="es-ES"/>
        </w:rPr>
        <w:t>Hacer</w:t>
      </w:r>
      <w:r w:rsidRPr="00A960D8">
        <w:rPr>
          <w:rFonts w:ascii="Book Antiqua" w:hAnsi="Book Antiqua"/>
          <w:color w:val="2F5496" w:themeColor="accent1" w:themeShade="BF"/>
          <w:sz w:val="23"/>
          <w:szCs w:val="23"/>
          <w:lang w:val="es-ES" w:eastAsia="es-ES"/>
        </w:rPr>
        <w:t xml:space="preserve"> saber al solicitante que si no se encuentra conforme con la información proporcionada le queda expedita la vía administrativa para acudir al Instituto de Acceso a la Información Pública en virtud de lo establecido en el artículo 135 de la Ley de Procedimientos Administrativos y Arts. 82, 83 de la Ley de Acceso a la Información Pública.  </w:t>
      </w:r>
    </w:p>
    <w:p w14:paraId="689E2656" w14:textId="77777777" w:rsidR="00F6156B" w:rsidRPr="00A960D8" w:rsidRDefault="00F6156B" w:rsidP="00F6156B">
      <w:pPr>
        <w:pStyle w:val="Prrafodelista"/>
        <w:ind w:left="851" w:hanging="491"/>
        <w:jc w:val="both"/>
        <w:rPr>
          <w:rFonts w:ascii="Book Antiqua" w:hAnsi="Book Antiqua"/>
          <w:b/>
          <w:color w:val="2F5496" w:themeColor="accent1" w:themeShade="BF"/>
          <w:sz w:val="23"/>
          <w:szCs w:val="23"/>
          <w:lang w:val="es-ES" w:eastAsia="es-ES"/>
        </w:rPr>
      </w:pPr>
    </w:p>
    <w:p w14:paraId="1631A3E3" w14:textId="77777777" w:rsidR="00F6156B" w:rsidRPr="00A960D8" w:rsidRDefault="00F6156B" w:rsidP="00F6156B">
      <w:pPr>
        <w:pStyle w:val="Prrafodelista"/>
        <w:numPr>
          <w:ilvl w:val="0"/>
          <w:numId w:val="2"/>
        </w:numPr>
        <w:ind w:left="851"/>
        <w:jc w:val="both"/>
        <w:rPr>
          <w:rFonts w:ascii="Book Antiqua" w:hAnsi="Book Antiqua"/>
          <w:b/>
          <w:color w:val="2F5496" w:themeColor="accent1" w:themeShade="BF"/>
          <w:lang w:val="es-ES" w:eastAsia="es-ES"/>
        </w:rPr>
      </w:pPr>
      <w:r w:rsidRPr="00A960D8">
        <w:rPr>
          <w:rFonts w:ascii="Book Antiqua" w:hAnsi="Book Antiqua"/>
          <w:color w:val="2F5496" w:themeColor="accent1" w:themeShade="BF"/>
          <w:sz w:val="23"/>
          <w:szCs w:val="23"/>
          <w:lang w:val="es-ES" w:eastAsia="es-ES"/>
        </w:rPr>
        <w:t xml:space="preserve">Conforme a los Arts. 18, 86 Inciso 3° de la Constitución, Arts. 2, 7, 9, 24, 36, 50, 62, 66, 70, 71 y 72 de la Ley de Acceso a la Información Pública y Arts. 71, 74, 81, 82 Inciso 3° y 96 de la Ley de Procedimientos Administrativos, esta Unidad de Acceso a la Información Pública, </w:t>
      </w:r>
      <w:r w:rsidRPr="00A960D8">
        <w:rPr>
          <w:rFonts w:ascii="Book Antiqua" w:hAnsi="Book Antiqua"/>
          <w:b/>
          <w:color w:val="2F5496" w:themeColor="accent1" w:themeShade="BF"/>
          <w:sz w:val="23"/>
          <w:szCs w:val="23"/>
          <w:lang w:val="es-ES" w:eastAsia="es-ES"/>
        </w:rPr>
        <w:t>Remite</w:t>
      </w:r>
      <w:r w:rsidRPr="00A960D8">
        <w:rPr>
          <w:rFonts w:ascii="Book Antiqua" w:hAnsi="Book Antiqua"/>
          <w:color w:val="2F5496" w:themeColor="accent1" w:themeShade="BF"/>
          <w:sz w:val="23"/>
          <w:szCs w:val="23"/>
          <w:lang w:val="es-ES" w:eastAsia="es-ES"/>
        </w:rPr>
        <w:t xml:space="preserve"> la presente por el medio señalado para tal efecto. </w:t>
      </w:r>
      <w:r w:rsidRPr="00A960D8">
        <w:rPr>
          <w:rFonts w:ascii="Book Antiqua" w:hAnsi="Book Antiqua"/>
          <w:b/>
          <w:color w:val="2F5496" w:themeColor="accent1" w:themeShade="BF"/>
          <w:sz w:val="23"/>
          <w:szCs w:val="23"/>
          <w:lang w:val="es-ES" w:eastAsia="es-ES"/>
        </w:rPr>
        <w:t>NOTIFÍQUESE.</w:t>
      </w:r>
    </w:p>
    <w:p w14:paraId="0968EB7F" w14:textId="77777777" w:rsidR="00F6156B" w:rsidRPr="00A960D8" w:rsidRDefault="00F6156B" w:rsidP="00F6156B">
      <w:pPr>
        <w:jc w:val="both"/>
        <w:rPr>
          <w:rFonts w:ascii="Book Antiqua" w:hAnsi="Book Antiqua"/>
          <w:b/>
          <w:color w:val="2F5496" w:themeColor="accent1" w:themeShade="BF"/>
          <w:lang w:val="es-ES" w:eastAsia="es-ES"/>
        </w:rPr>
      </w:pPr>
    </w:p>
    <w:p w14:paraId="191F2B2D" w14:textId="6FD031ED" w:rsidR="00F6156B" w:rsidRPr="00A960D8" w:rsidRDefault="00F6156B" w:rsidP="00F6156B">
      <w:pPr>
        <w:spacing w:line="360" w:lineRule="auto"/>
        <w:jc w:val="both"/>
        <w:rPr>
          <w:rFonts w:ascii="Book Antiqua" w:hAnsi="Book Antiqua"/>
          <w:color w:val="2F5496" w:themeColor="accent1" w:themeShade="BF"/>
        </w:rPr>
      </w:pPr>
    </w:p>
    <w:p w14:paraId="211844A4" w14:textId="3B0DFEA7" w:rsidR="00146560" w:rsidRPr="00A960D8" w:rsidRDefault="00146560" w:rsidP="00F6156B">
      <w:pPr>
        <w:spacing w:line="360" w:lineRule="auto"/>
        <w:jc w:val="both"/>
        <w:rPr>
          <w:rFonts w:ascii="Book Antiqua" w:hAnsi="Book Antiqua"/>
          <w:color w:val="2F5496" w:themeColor="accent1" w:themeShade="BF"/>
        </w:rPr>
      </w:pPr>
    </w:p>
    <w:p w14:paraId="22EF138D" w14:textId="77777777" w:rsidR="00146560" w:rsidRPr="00A960D8" w:rsidRDefault="00146560" w:rsidP="00F6156B">
      <w:pPr>
        <w:spacing w:line="360" w:lineRule="auto"/>
        <w:jc w:val="both"/>
        <w:rPr>
          <w:rFonts w:ascii="Book Antiqua" w:hAnsi="Book Antiqua"/>
          <w:color w:val="2F5496" w:themeColor="accent1" w:themeShade="BF"/>
        </w:rPr>
      </w:pPr>
    </w:p>
    <w:p w14:paraId="5BC80E20" w14:textId="77777777" w:rsidR="00F6156B" w:rsidRPr="00A960D8" w:rsidRDefault="00F6156B" w:rsidP="00F6156B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color w:val="2F5496" w:themeColor="accent1" w:themeShade="BF"/>
          <w:sz w:val="22"/>
          <w:szCs w:val="22"/>
        </w:rPr>
      </w:pPr>
      <w:r w:rsidRPr="00A960D8">
        <w:rPr>
          <w:rFonts w:ascii="Book Antiqua" w:hAnsi="Book Antiqua"/>
          <w:color w:val="2F5496" w:themeColor="accent1" w:themeShade="BF"/>
          <w:lang w:eastAsia="es-ES_tradnl"/>
        </w:rPr>
        <w:t xml:space="preserve"> </w:t>
      </w:r>
      <w:r w:rsidRPr="00A960D8">
        <w:rPr>
          <w:rFonts w:ascii="Book Antiqua" w:hAnsi="Book Antiqua"/>
          <w:b/>
          <w:color w:val="2F5496" w:themeColor="accent1" w:themeShade="BF"/>
          <w:sz w:val="22"/>
          <w:lang w:eastAsia="es-ES_tradnl"/>
        </w:rPr>
        <w:t xml:space="preserve">Lic. </w:t>
      </w:r>
      <w:r w:rsidRPr="00A960D8">
        <w:rPr>
          <w:rFonts w:ascii="Book Antiqua" w:hAnsi="Book Antiqua"/>
          <w:b/>
          <w:color w:val="2F5496" w:themeColor="accent1" w:themeShade="BF"/>
          <w:sz w:val="22"/>
          <w:szCs w:val="22"/>
        </w:rPr>
        <w:t>Roberto Arnoldo Rivera Flores</w:t>
      </w:r>
    </w:p>
    <w:p w14:paraId="24D2C4FB" w14:textId="77777777" w:rsidR="00F6156B" w:rsidRPr="00A960D8" w:rsidRDefault="00F6156B" w:rsidP="00F6156B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color w:val="2F5496" w:themeColor="accent1" w:themeShade="BF"/>
          <w:sz w:val="22"/>
          <w:szCs w:val="22"/>
        </w:rPr>
      </w:pPr>
      <w:r w:rsidRPr="00A960D8">
        <w:rPr>
          <w:rFonts w:ascii="Book Antiqua" w:hAnsi="Book Antiqua"/>
          <w:b/>
          <w:color w:val="2F5496" w:themeColor="accent1" w:themeShade="BF"/>
          <w:sz w:val="22"/>
          <w:szCs w:val="22"/>
        </w:rPr>
        <w:t xml:space="preserve">Oficial de Información  </w:t>
      </w:r>
    </w:p>
    <w:p w14:paraId="6223D5BF" w14:textId="77777777" w:rsidR="00FA5D27" w:rsidRPr="00A960D8" w:rsidRDefault="00FA5D27">
      <w:pPr>
        <w:rPr>
          <w:color w:val="2F5496" w:themeColor="accent1" w:themeShade="BF"/>
        </w:rPr>
      </w:pPr>
    </w:p>
    <w:sectPr w:rsidR="00FA5D27" w:rsidRPr="00A960D8" w:rsidSect="004D5F2F">
      <w:pgSz w:w="12240" w:h="15840"/>
      <w:pgMar w:top="1417" w:right="146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2E09"/>
    <w:multiLevelType w:val="hybridMultilevel"/>
    <w:tmpl w:val="2814E25E"/>
    <w:lvl w:ilvl="0" w:tplc="86481D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157A0"/>
    <w:multiLevelType w:val="hybridMultilevel"/>
    <w:tmpl w:val="860E3226"/>
    <w:lvl w:ilvl="0" w:tplc="379E2E5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6B"/>
    <w:rsid w:val="00146560"/>
    <w:rsid w:val="006F53CD"/>
    <w:rsid w:val="007842F4"/>
    <w:rsid w:val="00787C91"/>
    <w:rsid w:val="009C4416"/>
    <w:rsid w:val="009E15CE"/>
    <w:rsid w:val="00A0668D"/>
    <w:rsid w:val="00A77847"/>
    <w:rsid w:val="00A960D8"/>
    <w:rsid w:val="00B17716"/>
    <w:rsid w:val="00B72CD0"/>
    <w:rsid w:val="00C70A98"/>
    <w:rsid w:val="00DF4588"/>
    <w:rsid w:val="00E7173F"/>
    <w:rsid w:val="00EA41D8"/>
    <w:rsid w:val="00F40831"/>
    <w:rsid w:val="00F6156B"/>
    <w:rsid w:val="00FA5D27"/>
    <w:rsid w:val="00FA75C0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9A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6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F615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56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F61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Josue Castro Castro</dc:creator>
  <cp:lastModifiedBy>Roberto Arnoldo Rivera Flores</cp:lastModifiedBy>
  <cp:revision>2</cp:revision>
  <cp:lastPrinted>2022-05-05T21:00:00Z</cp:lastPrinted>
  <dcterms:created xsi:type="dcterms:W3CDTF">2022-05-06T20:09:00Z</dcterms:created>
  <dcterms:modified xsi:type="dcterms:W3CDTF">2022-05-06T20:09:00Z</dcterms:modified>
</cp:coreProperties>
</file>