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87" w:rsidRDefault="00963987" w:rsidP="00963987">
      <w:pPr>
        <w:spacing w:after="0"/>
        <w:jc w:val="center"/>
        <w:rPr>
          <w:rFonts w:ascii="Book Antiqua" w:hAnsi="Book Antiqua"/>
          <w:b/>
          <w:sz w:val="24"/>
          <w:szCs w:val="24"/>
        </w:rPr>
      </w:pPr>
    </w:p>
    <w:p w:rsidR="00963987" w:rsidRDefault="00963987" w:rsidP="00963987">
      <w:pPr>
        <w:spacing w:after="0"/>
        <w:jc w:val="center"/>
        <w:rPr>
          <w:rFonts w:ascii="Book Antiqua" w:hAnsi="Book Antiqua"/>
          <w:b/>
          <w:sz w:val="24"/>
          <w:szCs w:val="24"/>
        </w:rPr>
      </w:pPr>
    </w:p>
    <w:p w:rsidR="00963987" w:rsidRPr="0022486B" w:rsidRDefault="00963987" w:rsidP="00963987">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963987" w:rsidRDefault="00963987" w:rsidP="00963987"/>
    <w:p w:rsidR="00963987" w:rsidRDefault="00963987" w:rsidP="00963987">
      <w:pPr>
        <w:spacing w:after="0"/>
        <w:jc w:val="center"/>
        <w:rPr>
          <w:rFonts w:ascii="Book Antiqua" w:hAnsi="Book Antiqua"/>
          <w:b/>
          <w:sz w:val="24"/>
          <w:szCs w:val="24"/>
        </w:rPr>
      </w:pPr>
    </w:p>
    <w:p w:rsidR="00963987" w:rsidRDefault="00963987" w:rsidP="00963987">
      <w:pPr>
        <w:spacing w:after="0"/>
        <w:jc w:val="center"/>
        <w:rPr>
          <w:noProof/>
          <w:lang w:eastAsia="es-SV"/>
        </w:rPr>
      </w:pPr>
    </w:p>
    <w:p w:rsidR="00963987" w:rsidRDefault="00963987" w:rsidP="00963987">
      <w:pPr>
        <w:spacing w:after="0"/>
        <w:jc w:val="center"/>
        <w:rPr>
          <w:noProof/>
          <w:lang w:eastAsia="es-SV"/>
        </w:rPr>
      </w:pPr>
    </w:p>
    <w:p w:rsidR="00963987" w:rsidRDefault="00963987" w:rsidP="00963987">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1662034A" wp14:editId="4924FB49">
            <wp:simplePos x="0" y="0"/>
            <wp:positionH relativeFrom="column">
              <wp:posOffset>1606550</wp:posOffset>
            </wp:positionH>
            <wp:positionV relativeFrom="paragraph">
              <wp:posOffset>-733425</wp:posOffset>
            </wp:positionV>
            <wp:extent cx="2615565" cy="11296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5565" cy="1129665"/>
                    </a:xfrm>
                    <a:prstGeom prst="rect">
                      <a:avLst/>
                    </a:prstGeom>
                    <a:noFill/>
                  </pic:spPr>
                </pic:pic>
              </a:graphicData>
            </a:graphic>
            <wp14:sizeRelH relativeFrom="page">
              <wp14:pctWidth>0</wp14:pctWidth>
            </wp14:sizeRelH>
            <wp14:sizeRelV relativeFrom="page">
              <wp14:pctHeight>0</wp14:pctHeight>
            </wp14:sizeRelV>
          </wp:anchor>
        </w:drawing>
      </w:r>
    </w:p>
    <w:p w:rsidR="00963987" w:rsidRDefault="00963987" w:rsidP="00963987">
      <w:pPr>
        <w:spacing w:after="0"/>
        <w:jc w:val="center"/>
        <w:rPr>
          <w:rFonts w:ascii="Book Antiqua" w:hAnsi="Book Antiqua"/>
          <w:b/>
          <w:sz w:val="24"/>
          <w:szCs w:val="24"/>
        </w:rPr>
      </w:pPr>
    </w:p>
    <w:p w:rsidR="00963987" w:rsidRDefault="00963987" w:rsidP="00963987">
      <w:pPr>
        <w:spacing w:after="0"/>
        <w:jc w:val="center"/>
        <w:rPr>
          <w:rFonts w:ascii="Book Antiqua" w:hAnsi="Book Antiqua"/>
          <w:b/>
          <w:sz w:val="24"/>
          <w:szCs w:val="24"/>
        </w:rPr>
      </w:pPr>
      <w:r>
        <w:rPr>
          <w:rFonts w:ascii="Book Antiqua" w:hAnsi="Book Antiqua"/>
          <w:b/>
          <w:sz w:val="24"/>
          <w:szCs w:val="24"/>
        </w:rPr>
        <w:t>MINISTERIO DE GOBERNACIÓN Y DESARROLLO TERRITORIAL</w:t>
      </w:r>
    </w:p>
    <w:p w:rsidR="00963987" w:rsidRDefault="00963987" w:rsidP="00963987">
      <w:pPr>
        <w:spacing w:after="0"/>
        <w:jc w:val="center"/>
        <w:rPr>
          <w:rFonts w:ascii="Book Antiqua" w:hAnsi="Book Antiqua"/>
          <w:b/>
          <w:sz w:val="24"/>
          <w:szCs w:val="24"/>
        </w:rPr>
      </w:pPr>
      <w:r>
        <w:rPr>
          <w:rFonts w:ascii="Book Antiqua" w:hAnsi="Book Antiqua"/>
          <w:b/>
          <w:sz w:val="24"/>
          <w:szCs w:val="24"/>
        </w:rPr>
        <w:t>REPÚBLICA DE EL SALVADOR, AMÉRICA CENTRAL</w:t>
      </w:r>
    </w:p>
    <w:p w:rsidR="00963987" w:rsidRDefault="00963987" w:rsidP="00963987">
      <w:pPr>
        <w:spacing w:after="0"/>
        <w:jc w:val="center"/>
        <w:rPr>
          <w:rFonts w:ascii="Book Antiqua" w:hAnsi="Book Antiqua"/>
          <w:b/>
          <w:sz w:val="24"/>
          <w:szCs w:val="24"/>
        </w:rPr>
      </w:pPr>
    </w:p>
    <w:p w:rsidR="00963987" w:rsidRDefault="00963987" w:rsidP="00963987">
      <w:pPr>
        <w:spacing w:after="0"/>
        <w:jc w:val="center"/>
        <w:rPr>
          <w:rFonts w:ascii="Book Antiqua" w:hAnsi="Book Antiqua"/>
          <w:b/>
          <w:sz w:val="24"/>
          <w:szCs w:val="24"/>
        </w:rPr>
      </w:pPr>
      <w:r>
        <w:rPr>
          <w:rFonts w:ascii="Book Antiqua" w:hAnsi="Book Antiqua"/>
          <w:b/>
          <w:sz w:val="24"/>
          <w:szCs w:val="24"/>
        </w:rPr>
        <w:t>RESOLUCIÓN NO. 98/2</w:t>
      </w:r>
      <w:bookmarkStart w:id="0" w:name="_GoBack"/>
      <w:bookmarkEnd w:id="0"/>
      <w:r>
        <w:rPr>
          <w:rFonts w:ascii="Book Antiqua" w:hAnsi="Book Antiqua"/>
          <w:b/>
          <w:sz w:val="24"/>
          <w:szCs w:val="24"/>
        </w:rPr>
        <w:t>021</w:t>
      </w:r>
    </w:p>
    <w:p w:rsidR="00963987" w:rsidRPr="0096321A" w:rsidRDefault="00963987" w:rsidP="00963987">
      <w:pPr>
        <w:spacing w:after="0"/>
        <w:jc w:val="center"/>
        <w:rPr>
          <w:rFonts w:ascii="Book Antiqua" w:hAnsi="Book Antiqua"/>
          <w:b/>
          <w:sz w:val="24"/>
          <w:szCs w:val="24"/>
        </w:rPr>
      </w:pPr>
    </w:p>
    <w:p w:rsidR="00963987" w:rsidRPr="00C1054B" w:rsidRDefault="00963987" w:rsidP="00963987">
      <w:pPr>
        <w:jc w:val="both"/>
        <w:rPr>
          <w:rFonts w:ascii="Book Antiqua" w:eastAsia="Times New Roman" w:hAnsi="Book Antiqua" w:cs="Helvetica"/>
          <w:b/>
          <w:color w:val="000000"/>
          <w:lang w:eastAsia="es-SV"/>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trece horas y cincuenta minutos del día veintidós de septiembre de dos mil veintiuno. </w:t>
      </w:r>
      <w:r>
        <w:rPr>
          <w:rFonts w:ascii="Book Antiqua" w:hAnsi="Book Antiqua"/>
          <w:b/>
        </w:rPr>
        <w:t xml:space="preserve">CONSIDERANDO </w:t>
      </w:r>
      <w:r>
        <w:rPr>
          <w:rFonts w:ascii="Book Antiqua" w:hAnsi="Book Antiqua"/>
        </w:rPr>
        <w:t>que</w:t>
      </w:r>
      <w:r>
        <w:rPr>
          <w:rFonts w:ascii="Book Antiqua" w:hAnsi="Book Antiqua"/>
          <w:b/>
        </w:rPr>
        <w:t xml:space="preserve">: I) </w:t>
      </w:r>
      <w:r w:rsidRPr="005605F7">
        <w:rPr>
          <w:rFonts w:ascii="Book Antiqua" w:hAnsi="Book Antiqua"/>
          <w:lang w:val="es-ES" w:eastAsia="es-ES"/>
        </w:rPr>
        <w:t>Se recibió solicitud de información presentada a la Unidad de Acceso a la Informac</w:t>
      </w:r>
      <w:r>
        <w:rPr>
          <w:rFonts w:ascii="Book Antiqua" w:hAnsi="Book Antiqua"/>
          <w:lang w:val="es-ES" w:eastAsia="es-ES"/>
        </w:rPr>
        <w:t xml:space="preserve">ión Pública de este Ministerio, por medio de correo electrónico </w:t>
      </w:r>
      <w:r w:rsidRPr="005605F7">
        <w:rPr>
          <w:rFonts w:ascii="Book Antiqua" w:hAnsi="Book Antiqua"/>
          <w:lang w:val="es-ES" w:eastAsia="es-ES"/>
        </w:rPr>
        <w:t>en</w:t>
      </w:r>
      <w:r>
        <w:rPr>
          <w:rFonts w:ascii="Book Antiqua" w:hAnsi="Book Antiqua"/>
          <w:lang w:val="es-ES" w:eastAsia="es-ES"/>
        </w:rPr>
        <w:t xml:space="preserve"> fecha catorce </w:t>
      </w:r>
      <w:r w:rsidRPr="005605F7">
        <w:rPr>
          <w:rFonts w:ascii="Book Antiqua" w:hAnsi="Book Antiqua"/>
          <w:lang w:val="es-ES" w:eastAsia="es-ES"/>
        </w:rPr>
        <w:t xml:space="preserve">de </w:t>
      </w:r>
      <w:r>
        <w:rPr>
          <w:rFonts w:ascii="Book Antiqua" w:hAnsi="Book Antiqua"/>
          <w:lang w:val="es-ES" w:eastAsia="es-ES"/>
        </w:rPr>
        <w:t xml:space="preserve">septiembre </w:t>
      </w:r>
      <w:r w:rsidRPr="005605F7">
        <w:rPr>
          <w:rFonts w:ascii="Book Antiqua" w:hAnsi="Book Antiqua"/>
          <w:lang w:val="es-ES" w:eastAsia="es-ES"/>
        </w:rPr>
        <w:t>del pre</w:t>
      </w:r>
      <w:r>
        <w:rPr>
          <w:rFonts w:ascii="Book Antiqua" w:hAnsi="Book Antiqua"/>
          <w:lang w:val="es-ES" w:eastAsia="es-ES"/>
        </w:rPr>
        <w:t xml:space="preserve">sente año, a nombre del señor: </w:t>
      </w:r>
      <w:r>
        <w:rPr>
          <w:rFonts w:ascii="Book Antiqua" w:hAnsi="Book Antiqua"/>
          <w:b/>
          <w:lang w:val="es-ES" w:eastAsia="es-ES"/>
        </w:rPr>
        <w:t>//////////////</w:t>
      </w:r>
      <w:r>
        <w:rPr>
          <w:rFonts w:ascii="Book Antiqua" w:hAnsi="Book Antiqua"/>
          <w:lang w:val="es-ES" w:eastAsia="es-ES"/>
        </w:rPr>
        <w:t>, en la cual solicita: “</w:t>
      </w:r>
      <w:r>
        <w:rPr>
          <w:rFonts w:ascii="Book Antiqua" w:eastAsia="Times New Roman" w:hAnsi="Book Antiqua" w:cs="Helvetica"/>
          <w:color w:val="000000"/>
          <w:lang w:eastAsia="es-SV"/>
        </w:rPr>
        <w:t xml:space="preserve">Versión pública de las erogaciones del FOPROMID entre los meses de enero de julio de 2021. Se pide que la información sea proporcionada en formato procesable (CVS, o XLSV)”  </w:t>
      </w:r>
      <w:r w:rsidRPr="008A70B8">
        <w:rPr>
          <w:rFonts w:ascii="Book Antiqua" w:eastAsia="Times New Roman" w:hAnsi="Book Antiqua" w:cs="Helvetica"/>
          <w:b/>
          <w:color w:val="000000"/>
          <w:lang w:eastAsia="es-SV"/>
        </w:rPr>
        <w:t>II)</w:t>
      </w:r>
      <w:r>
        <w:rPr>
          <w:rFonts w:ascii="Book Antiqua" w:eastAsia="Times New Roman" w:hAnsi="Book Antiqua" w:cs="Helvetica"/>
          <w:color w:val="000000"/>
          <w:lang w:eastAsia="es-SV"/>
        </w:rPr>
        <w:t xml:space="preserve"> De conformidad al Art. 70 de la Ley de Acceso a la Información Pública, se remitió el requerimiento a la Dirección Financiera Institucional, la que a través de la Nota MIGOBDT-DFI-0811/2021, de fecha 21 de septiembre de 2021, suscrita por el Lic. Alvaro Román Carballo Echeverria, informa: “al respecto por este medio le comunico que la información solicitada no puede ser proporcionada por esta Dirección, ya que lo mismo no es facultad ni de esta Dirección, ni de esta Cartera de Estado, pues de conformidad a lo establecido en el Art. 1 de la Ley de Creación del Fondo de Protección Civil, Prevención y Mitigación de Desastres </w:t>
      </w:r>
      <w:r w:rsidRPr="00C1054B">
        <w:rPr>
          <w:rFonts w:ascii="Book Antiqua" w:eastAsia="Times New Roman" w:hAnsi="Book Antiqua" w:cs="Helvetica"/>
          <w:i/>
          <w:color w:val="000000"/>
          <w:lang w:eastAsia="es-SV"/>
        </w:rPr>
        <w:t xml:space="preserve">“…la administración de FOPROMID le corresponderá al Ministro de Hacienda o quien haga sus veces, quien podrá delegar mediante Acuerdo Ejecutivo la citada responsabilidad.” </w:t>
      </w:r>
      <w:r>
        <w:rPr>
          <w:rFonts w:ascii="Book Antiqua" w:eastAsia="Times New Roman" w:hAnsi="Book Antiqua" w:cs="Helvetica"/>
          <w:color w:val="000000"/>
          <w:lang w:eastAsia="es-SV"/>
        </w:rPr>
        <w:t xml:space="preserve">En virtud de lo anterior lo solicitado debe ser requerido al Ministerio de Hacienda, pues son ellos los responsables de la administración del fondo, pues el Art. 2 del Reglamento de la referida ley: </w:t>
      </w:r>
      <w:r w:rsidRPr="00C1054B">
        <w:rPr>
          <w:rFonts w:ascii="Book Antiqua" w:eastAsia="Times New Roman" w:hAnsi="Book Antiqua" w:cs="Helvetica"/>
          <w:i/>
          <w:color w:val="000000"/>
          <w:lang w:eastAsia="es-SV"/>
        </w:rPr>
        <w:t xml:space="preserve">“Art.2.- La delegación para la administración del Fondo a que se refiere el Art. 1, inciso segundo de la Ley, únicamente podrá recaer en un funcionario que forme parte de la estructura organizativa del Ministerio de Hacienda.” </w:t>
      </w:r>
      <w:r>
        <w:rPr>
          <w:rFonts w:ascii="Book Antiqua" w:eastAsia="Times New Roman" w:hAnsi="Book Antiqua" w:cs="Helvetica"/>
          <w:b/>
          <w:color w:val="000000"/>
          <w:lang w:eastAsia="es-SV"/>
        </w:rPr>
        <w:t xml:space="preserve">III) </w:t>
      </w:r>
      <w:r w:rsidRPr="009B7F8F">
        <w:rPr>
          <w:rFonts w:ascii="Book Antiqua" w:hAnsi="Book Antiqua" w:cs="Helvetica"/>
          <w:shd w:val="clear" w:color="auto" w:fill="FFFFFF"/>
        </w:rPr>
        <w:t>Que el Inciso 2° del Art. 68 de la LAIP expresa que “</w:t>
      </w:r>
      <w:r w:rsidRPr="009B7F8F">
        <w:rPr>
          <w:rFonts w:ascii="Book Antiqua" w:hAnsi="Book Antiqua" w:cs="Helvetica"/>
          <w:i/>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hd w:val="clear" w:color="auto" w:fill="FFFFFF"/>
        </w:rPr>
        <w:t>simismo el Art. 49 del Reglamento de la LAIP establece que “</w:t>
      </w:r>
      <w:r w:rsidRPr="009B7F8F">
        <w:rPr>
          <w:rFonts w:ascii="Book Antiqua" w:hAnsi="Book Antiqua" w:cs="Helvetica"/>
          <w:i/>
          <w:shd w:val="clear" w:color="auto" w:fill="FFFFFF"/>
        </w:rPr>
        <w:t xml:space="preserve">las Unidades de Acceso a la Información Pública que </w:t>
      </w:r>
      <w:r w:rsidRPr="009B7F8F">
        <w:rPr>
          <w:rFonts w:ascii="Book Antiqua" w:hAnsi="Book Antiqua" w:cs="Helvetica"/>
          <w:i/>
          <w:shd w:val="clear" w:color="auto" w:fill="FFFFFF"/>
        </w:rPr>
        <w:lastRenderedPageBreak/>
        <w:t>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hd w:val="clear" w:color="auto" w:fill="FFFFFF"/>
        </w:rPr>
        <w:t>”</w:t>
      </w:r>
      <w:r w:rsidRPr="009B7F8F">
        <w:rPr>
          <w:rFonts w:ascii="Book Antiqua" w:hAnsi="Book Antiqua"/>
          <w:lang w:eastAsia="es-ES"/>
        </w:rPr>
        <w:t>. Reiterando el Art. 10 Inciso 2° de la Ley de Procedimientos Administrativos “</w:t>
      </w:r>
      <w:r w:rsidRPr="009B7F8F">
        <w:rPr>
          <w:rFonts w:ascii="Book Antiqua" w:hAnsi="Book Antiqua"/>
          <w:i/>
          <w:lang w:eastAsia="es-ES"/>
        </w:rPr>
        <w:t>Cuando una petición se dirija a un funcionario o autoridad y esta considere que la competencia para resolver corresponde a otro funcionario o autoridad de distinto órgano o institución, indicará esto último al intere</w:t>
      </w:r>
      <w:r>
        <w:rPr>
          <w:rFonts w:ascii="Book Antiqua" w:hAnsi="Book Antiqua"/>
          <w:i/>
          <w:lang w:eastAsia="es-ES"/>
        </w:rPr>
        <w:t xml:space="preserve">sado y le devolverá la petición </w:t>
      </w:r>
      <w:r w:rsidRPr="009B7F8F">
        <w:rPr>
          <w:rFonts w:ascii="Book Antiqua" w:hAnsi="Book Antiqua"/>
          <w:i/>
          <w:lang w:eastAsia="es-ES"/>
        </w:rPr>
        <w:t>(…)</w:t>
      </w:r>
      <w:r>
        <w:rPr>
          <w:rFonts w:ascii="Book Antiqua" w:hAnsi="Book Antiqua"/>
          <w:i/>
          <w:lang w:eastAsia="es-ES"/>
        </w:rPr>
        <w:t>”</w:t>
      </w:r>
      <w:r>
        <w:rPr>
          <w:rFonts w:ascii="Book Antiqua" w:hAnsi="Book Antiqua"/>
          <w:lang w:val="es-ES_tradnl" w:eastAsia="es-ES_tradnl"/>
        </w:rPr>
        <w:t xml:space="preserve">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86 Inciso 3° de la Constitución y 2, 7, 9, 50, 62 de la LAIP, esta Unidad de Acceso a la Información Pública, </w:t>
      </w:r>
      <w:r>
        <w:rPr>
          <w:rFonts w:ascii="Book Antiqua" w:hAnsi="Book Antiqua"/>
          <w:b/>
          <w:lang w:val="es-ES" w:eastAsia="es-ES"/>
        </w:rPr>
        <w:t>RESUELVE:</w:t>
      </w:r>
      <w:r>
        <w:rPr>
          <w:rFonts w:ascii="Book Antiqua" w:hAnsi="Book Antiqua"/>
          <w:lang w:val="es-ES" w:eastAsia="es-ES"/>
        </w:rPr>
        <w:t xml:space="preserve"> 1°) </w:t>
      </w:r>
      <w:r>
        <w:rPr>
          <w:rFonts w:ascii="Book Antiqua" w:hAnsi="Book Antiqua"/>
          <w:b/>
          <w:lang w:val="es-ES" w:eastAsia="es-ES"/>
        </w:rPr>
        <w:t>CONCEDER</w:t>
      </w:r>
      <w:r>
        <w:rPr>
          <w:rFonts w:ascii="Book Antiqua" w:hAnsi="Book Antiqua"/>
          <w:lang w:val="es-ES" w:eastAsia="es-ES"/>
        </w:rPr>
        <w:t xml:space="preserve"> el acceso a la información contenida en la nota relacionada en el Considerando II. </w:t>
      </w:r>
      <w:r w:rsidRPr="00E84A0F">
        <w:rPr>
          <w:rFonts w:ascii="Book Antiqua" w:hAnsi="Book Antiqua"/>
          <w:b/>
          <w:lang w:val="es-ES" w:eastAsia="es-ES"/>
        </w:rPr>
        <w:t>2°)</w:t>
      </w:r>
      <w:r>
        <w:rPr>
          <w:rFonts w:ascii="Book Antiqua" w:hAnsi="Book Antiqua"/>
          <w:lang w:val="es-ES" w:eastAsia="es-ES"/>
        </w:rPr>
        <w:t xml:space="preserve"> Orientar al solicitante en el sentido que debe dirigir su petición ante el Ministerio de Hacienda. </w:t>
      </w:r>
      <w:r>
        <w:rPr>
          <w:rFonts w:ascii="Book Antiqua" w:hAnsi="Book Antiqua"/>
          <w:b/>
          <w:color w:val="000000"/>
        </w:rPr>
        <w:t xml:space="preserve">NOTIFÍQUESE.- </w:t>
      </w:r>
    </w:p>
    <w:p w:rsidR="00963987" w:rsidRDefault="00963987" w:rsidP="00963987">
      <w:pPr>
        <w:jc w:val="both"/>
        <w:rPr>
          <w:rFonts w:ascii="Book Antiqua" w:hAnsi="Book Antiqua"/>
          <w:color w:val="000000"/>
        </w:rPr>
      </w:pPr>
    </w:p>
    <w:p w:rsidR="00963987" w:rsidRPr="00C1054B" w:rsidRDefault="00963987" w:rsidP="00963987">
      <w:pPr>
        <w:jc w:val="both"/>
        <w:rPr>
          <w:rFonts w:ascii="Book Antiqua" w:eastAsia="Times New Roman" w:hAnsi="Book Antiqua" w:cs="Helvetica"/>
          <w:i/>
          <w:color w:val="000000"/>
          <w:lang w:eastAsia="es-SV"/>
        </w:rPr>
      </w:pPr>
    </w:p>
    <w:p w:rsidR="00963987" w:rsidRDefault="00963987" w:rsidP="00963987">
      <w:pPr>
        <w:spacing w:after="0"/>
        <w:jc w:val="center"/>
        <w:rPr>
          <w:rFonts w:ascii="Book Antiqua" w:hAnsi="Book Antiqua" w:cs="Helvetica"/>
          <w:b/>
          <w:shd w:val="clear" w:color="auto" w:fill="FFFFFF"/>
        </w:rPr>
      </w:pPr>
      <w:r>
        <w:rPr>
          <w:rFonts w:ascii="Book Antiqua" w:hAnsi="Book Antiqua" w:cs="Helvetica"/>
          <w:b/>
          <w:shd w:val="clear" w:color="auto" w:fill="FFFFFF"/>
        </w:rPr>
        <w:t>LICDA. JENNI VANESSA QUINTANILLA GARCÍA</w:t>
      </w:r>
    </w:p>
    <w:p w:rsidR="00963987" w:rsidRDefault="00963987" w:rsidP="00963987">
      <w:pPr>
        <w:spacing w:after="0"/>
        <w:jc w:val="center"/>
        <w:rPr>
          <w:rFonts w:ascii="Book Antiqua" w:hAnsi="Book Antiqua" w:cs="Helvetica"/>
          <w:b/>
          <w:shd w:val="clear" w:color="auto" w:fill="FFFFFF"/>
        </w:rPr>
      </w:pPr>
      <w:r>
        <w:rPr>
          <w:rFonts w:ascii="Book Antiqua" w:hAnsi="Book Antiqua" w:cs="Helvetica"/>
          <w:b/>
          <w:shd w:val="clear" w:color="auto" w:fill="FFFFFF"/>
        </w:rPr>
        <w:t>OFICIAL DE INFORMACIÓN AD-HONOREM</w:t>
      </w:r>
    </w:p>
    <w:p w:rsidR="00DD3B70" w:rsidRDefault="00EB71F4"/>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87"/>
    <w:rsid w:val="00876156"/>
    <w:rsid w:val="00963987"/>
    <w:rsid w:val="00E37341"/>
    <w:rsid w:val="00EB71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2</cp:revision>
  <dcterms:created xsi:type="dcterms:W3CDTF">2021-11-24T17:22:00Z</dcterms:created>
  <dcterms:modified xsi:type="dcterms:W3CDTF">2021-11-24T17:22:00Z</dcterms:modified>
</cp:coreProperties>
</file>