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E3" w:rsidRDefault="006218E3" w:rsidP="006218E3">
      <w:pPr>
        <w:spacing w:after="0"/>
        <w:jc w:val="center"/>
        <w:rPr>
          <w:rFonts w:ascii="Book Antiqua" w:hAnsi="Book Antiqua"/>
          <w:b/>
        </w:rPr>
      </w:pPr>
    </w:p>
    <w:p w:rsidR="006218E3" w:rsidRDefault="006218E3" w:rsidP="006218E3">
      <w:pPr>
        <w:spacing w:after="0"/>
        <w:jc w:val="center"/>
        <w:rPr>
          <w:rFonts w:ascii="Book Antiqua" w:hAnsi="Book Antiqua"/>
          <w:b/>
        </w:rPr>
      </w:pPr>
    </w:p>
    <w:p w:rsidR="006218E3" w:rsidRDefault="006218E3" w:rsidP="006218E3"/>
    <w:p w:rsidR="006218E3" w:rsidRPr="0022486B" w:rsidRDefault="006218E3" w:rsidP="006218E3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6218E3" w:rsidRDefault="006218E3" w:rsidP="006218E3"/>
    <w:p w:rsidR="006218E3" w:rsidRDefault="006218E3" w:rsidP="006218E3"/>
    <w:p w:rsidR="006218E3" w:rsidRDefault="006218E3" w:rsidP="006218E3">
      <w:pPr>
        <w:spacing w:after="0"/>
        <w:jc w:val="center"/>
        <w:rPr>
          <w:rFonts w:ascii="Book Antiqua" w:hAnsi="Book Antiqua"/>
          <w:b/>
        </w:rPr>
      </w:pPr>
      <w:bookmarkStart w:id="0" w:name="_GoBack"/>
      <w:bookmarkEnd w:id="0"/>
    </w:p>
    <w:p w:rsidR="006218E3" w:rsidRPr="00705F43" w:rsidRDefault="006218E3" w:rsidP="006218E3">
      <w:pPr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RESOLUCIÓN NO. 85/2021 </w:t>
      </w:r>
    </w:p>
    <w:p w:rsidR="006218E3" w:rsidRDefault="006218E3" w:rsidP="006218E3"/>
    <w:p w:rsidR="006218E3" w:rsidRDefault="006218E3" w:rsidP="006218E3">
      <w:pPr>
        <w:jc w:val="both"/>
        <w:rPr>
          <w:rFonts w:ascii="Book Antiqua" w:hAnsi="Book Antiqua"/>
          <w:b/>
          <w:sz w:val="24"/>
          <w:szCs w:val="24"/>
        </w:rPr>
      </w:pPr>
      <w:r w:rsidRPr="00705F43">
        <w:rPr>
          <w:rFonts w:ascii="Book Antiqua" w:hAnsi="Book Antiqua"/>
          <w:sz w:val="24"/>
          <w:szCs w:val="24"/>
        </w:rPr>
        <w:t xml:space="preserve">Unidad de Acceso a la Información Pública del  Ministerio de Gobernación y Desarrollo Territorial: San Salvador, a las nueve horas con  siete minutos del veintisiete de julio del dos mil veintiuno. </w:t>
      </w:r>
      <w:r w:rsidRPr="00705F43">
        <w:rPr>
          <w:rFonts w:ascii="Book Antiqua" w:hAnsi="Book Antiqua"/>
          <w:b/>
          <w:sz w:val="24"/>
          <w:szCs w:val="24"/>
        </w:rPr>
        <w:t xml:space="preserve">CONSIDERANDO </w:t>
      </w:r>
      <w:r w:rsidRPr="00705F43">
        <w:rPr>
          <w:rFonts w:ascii="Book Antiqua" w:hAnsi="Book Antiqua"/>
          <w:sz w:val="24"/>
          <w:szCs w:val="24"/>
        </w:rPr>
        <w:t xml:space="preserve">que: </w:t>
      </w:r>
      <w:r w:rsidRPr="00D04834">
        <w:rPr>
          <w:rFonts w:ascii="Book Antiqua" w:hAnsi="Book Antiqua"/>
          <w:b/>
          <w:sz w:val="24"/>
          <w:szCs w:val="24"/>
        </w:rPr>
        <w:t>I.</w:t>
      </w:r>
      <w:r>
        <w:rPr>
          <w:rFonts w:ascii="Book Antiqua" w:hAnsi="Book Antiqua"/>
          <w:sz w:val="24"/>
          <w:szCs w:val="24"/>
        </w:rPr>
        <w:t xml:space="preserve"> </w:t>
      </w:r>
      <w:r w:rsidRPr="00705F43">
        <w:rPr>
          <w:rFonts w:ascii="Book Antiqua" w:hAnsi="Book Antiqua"/>
          <w:sz w:val="24"/>
          <w:szCs w:val="24"/>
        </w:rPr>
        <w:t xml:space="preserve">En fecha </w:t>
      </w:r>
      <w:r>
        <w:rPr>
          <w:rFonts w:ascii="Book Antiqua" w:hAnsi="Book Antiqua"/>
          <w:sz w:val="24"/>
          <w:szCs w:val="24"/>
        </w:rPr>
        <w:t xml:space="preserve">15 de junio de </w:t>
      </w:r>
      <w:r w:rsidRPr="00705F43">
        <w:rPr>
          <w:rFonts w:ascii="Book Antiqua" w:hAnsi="Book Antiqua"/>
          <w:sz w:val="24"/>
          <w:szCs w:val="24"/>
        </w:rPr>
        <w:t>20</w:t>
      </w:r>
      <w:r>
        <w:rPr>
          <w:rFonts w:ascii="Book Antiqua" w:hAnsi="Book Antiqua"/>
          <w:sz w:val="24"/>
          <w:szCs w:val="24"/>
        </w:rPr>
        <w:t>21</w:t>
      </w:r>
      <w:r w:rsidRPr="00705F43">
        <w:rPr>
          <w:rFonts w:ascii="Book Antiqua" w:hAnsi="Book Antiqua"/>
          <w:sz w:val="24"/>
          <w:szCs w:val="24"/>
        </w:rPr>
        <w:t xml:space="preserve">, el sr. 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***</w:t>
      </w:r>
      <w:r>
        <w:rPr>
          <w:rFonts w:ascii="Book Antiqua" w:hAnsi="Book Antiqua"/>
          <w:sz w:val="24"/>
          <w:szCs w:val="24"/>
        </w:rPr>
        <w:t xml:space="preserve">, </w:t>
      </w:r>
      <w:proofErr w:type="gramStart"/>
      <w:r w:rsidRPr="00705F43">
        <w:rPr>
          <w:rFonts w:ascii="Book Antiqua" w:hAnsi="Book Antiqua"/>
          <w:sz w:val="24"/>
          <w:szCs w:val="24"/>
        </w:rPr>
        <w:t>presentó</w:t>
      </w:r>
      <w:proofErr w:type="gramEnd"/>
      <w:r w:rsidRPr="00705F43">
        <w:rPr>
          <w:rFonts w:ascii="Book Antiqua" w:hAnsi="Book Antiqua"/>
          <w:sz w:val="24"/>
          <w:szCs w:val="24"/>
        </w:rPr>
        <w:t xml:space="preserve"> a esta Unidad</w:t>
      </w:r>
      <w:r>
        <w:rPr>
          <w:rFonts w:ascii="Book Antiqua" w:hAnsi="Book Antiqua"/>
          <w:sz w:val="24"/>
          <w:szCs w:val="24"/>
        </w:rPr>
        <w:t xml:space="preserve">, por medio de correo electrónico, </w:t>
      </w:r>
      <w:r w:rsidRPr="00705F43">
        <w:rPr>
          <w:rFonts w:ascii="Book Antiqua" w:hAnsi="Book Antiqua"/>
          <w:sz w:val="24"/>
          <w:szCs w:val="24"/>
        </w:rPr>
        <w:t>solicitud de información número</w:t>
      </w:r>
      <w:r>
        <w:rPr>
          <w:rFonts w:ascii="Book Antiqua" w:hAnsi="Book Antiqua"/>
          <w:sz w:val="24"/>
          <w:szCs w:val="24"/>
        </w:rPr>
        <w:t xml:space="preserve"> </w:t>
      </w:r>
      <w:r w:rsidRPr="00D04834">
        <w:rPr>
          <w:rFonts w:ascii="Book Antiqua" w:hAnsi="Book Antiqua"/>
          <w:b/>
          <w:sz w:val="24"/>
          <w:szCs w:val="24"/>
        </w:rPr>
        <w:t>MIGOBDT-2021-0070</w:t>
      </w:r>
      <w:r w:rsidRPr="00705F43">
        <w:rPr>
          <w:rFonts w:ascii="Book Antiqua" w:hAnsi="Book Antiqua"/>
          <w:sz w:val="24"/>
          <w:szCs w:val="24"/>
        </w:rPr>
        <w:t xml:space="preserve">, por medio de la cual requirió: </w:t>
      </w:r>
      <w:r w:rsidRPr="00D04834">
        <w:rPr>
          <w:rFonts w:ascii="Book Antiqua" w:hAnsi="Book Antiqua"/>
          <w:i/>
          <w:sz w:val="24"/>
          <w:szCs w:val="24"/>
        </w:rPr>
        <w:t>“</w:t>
      </w:r>
      <w:r w:rsidRPr="00D04834">
        <w:rPr>
          <w:rFonts w:ascii="Book Antiqua" w:eastAsia="Times New Roman" w:hAnsi="Book Antiqua" w:cs="Helvetica"/>
          <w:i/>
          <w:color w:val="000000"/>
          <w:sz w:val="21"/>
          <w:szCs w:val="21"/>
          <w:lang w:eastAsia="es-SV"/>
        </w:rPr>
        <w:t xml:space="preserve">Situación legal actualizada en sus oficinas de nuestra Asociación ASTALENTO. Actualizado y correcto procedimiento para elección de nueva junta directiva. Documentos oficiales a presentar para su debido </w:t>
      </w:r>
      <w:proofErr w:type="gramStart"/>
      <w:r w:rsidRPr="00D04834">
        <w:rPr>
          <w:rFonts w:ascii="Book Antiqua" w:eastAsia="Times New Roman" w:hAnsi="Book Antiqua" w:cs="Helvetica"/>
          <w:i/>
          <w:color w:val="000000"/>
          <w:sz w:val="21"/>
          <w:szCs w:val="21"/>
          <w:lang w:eastAsia="es-SV"/>
        </w:rPr>
        <w:t>registro</w:t>
      </w:r>
      <w:proofErr w:type="gramEnd"/>
      <w:r w:rsidRPr="00D04834">
        <w:rPr>
          <w:rFonts w:ascii="Book Antiqua" w:eastAsia="Times New Roman" w:hAnsi="Book Antiqua" w:cs="Helvetica"/>
          <w:i/>
          <w:color w:val="000000"/>
          <w:sz w:val="21"/>
          <w:szCs w:val="21"/>
          <w:lang w:eastAsia="es-SV"/>
        </w:rPr>
        <w:t xml:space="preserve"> ante sus oficinas. Otros. Si hubiese otra información atinente que nos sea de importancia, agradeceré favor nos la compartan.” </w:t>
      </w:r>
      <w:r>
        <w:rPr>
          <w:rFonts w:ascii="Book Antiqua" w:eastAsia="Times New Roman" w:hAnsi="Book Antiqua" w:cs="Helvetica"/>
          <w:i/>
          <w:color w:val="000000"/>
          <w:sz w:val="21"/>
          <w:szCs w:val="21"/>
          <w:lang w:eastAsia="es-SV"/>
        </w:rPr>
        <w:t>(</w:t>
      </w:r>
      <w:proofErr w:type="gramStart"/>
      <w:r>
        <w:rPr>
          <w:rFonts w:ascii="Book Antiqua" w:eastAsia="Times New Roman" w:hAnsi="Book Antiqua" w:cs="Helvetica"/>
          <w:i/>
          <w:color w:val="000000"/>
          <w:sz w:val="21"/>
          <w:szCs w:val="21"/>
          <w:lang w:eastAsia="es-SV"/>
        </w:rPr>
        <w:t>sic</w:t>
      </w:r>
      <w:proofErr w:type="gramEnd"/>
      <w:r>
        <w:rPr>
          <w:rFonts w:ascii="Book Antiqua" w:eastAsia="Times New Roman" w:hAnsi="Book Antiqua" w:cs="Helvetica"/>
          <w:i/>
          <w:color w:val="000000"/>
          <w:sz w:val="21"/>
          <w:szCs w:val="21"/>
          <w:lang w:eastAsia="es-SV"/>
        </w:rPr>
        <w:t xml:space="preserve">). </w:t>
      </w:r>
      <w:r w:rsidRPr="00D04834">
        <w:rPr>
          <w:rFonts w:ascii="Book Antiqua" w:eastAsia="Times New Roman" w:hAnsi="Book Antiqua" w:cs="Helvetica"/>
          <w:b/>
          <w:color w:val="000000"/>
          <w:sz w:val="21"/>
          <w:szCs w:val="21"/>
          <w:lang w:eastAsia="es-SV"/>
        </w:rPr>
        <w:t>II</w:t>
      </w:r>
      <w:r w:rsidRPr="00D04834">
        <w:rPr>
          <w:rFonts w:ascii="Book Antiqua" w:eastAsia="Times New Roman" w:hAnsi="Book Antiqua" w:cs="Helvetica"/>
          <w:b/>
          <w:i/>
          <w:color w:val="000000"/>
          <w:sz w:val="21"/>
          <w:szCs w:val="21"/>
          <w:lang w:eastAsia="es-SV"/>
        </w:rPr>
        <w:t>.</w:t>
      </w:r>
      <w:r>
        <w:rPr>
          <w:rFonts w:ascii="Book Antiqua" w:eastAsia="Times New Roman" w:hAnsi="Book Antiqua" w:cs="Helvetica"/>
          <w:i/>
          <w:color w:val="000000"/>
          <w:sz w:val="21"/>
          <w:szCs w:val="21"/>
          <w:lang w:eastAsia="es-SV"/>
        </w:rPr>
        <w:t xml:space="preserve"> </w:t>
      </w:r>
      <w:r w:rsidRPr="00D04834">
        <w:rPr>
          <w:rFonts w:ascii="Book Antiqua" w:hAnsi="Book Antiqua"/>
          <w:sz w:val="24"/>
          <w:szCs w:val="24"/>
        </w:rPr>
        <w:t xml:space="preserve">Por medio </w:t>
      </w:r>
      <w:r>
        <w:rPr>
          <w:rFonts w:ascii="Book Antiqua" w:hAnsi="Book Antiqua"/>
          <w:sz w:val="24"/>
          <w:szCs w:val="24"/>
        </w:rPr>
        <w:t xml:space="preserve">de la resolución </w:t>
      </w:r>
      <w:r w:rsidRPr="00D04834">
        <w:rPr>
          <w:rFonts w:ascii="Book Antiqua" w:hAnsi="Book Antiqua"/>
          <w:sz w:val="24"/>
          <w:szCs w:val="24"/>
        </w:rPr>
        <w:t xml:space="preserve">de fecha </w:t>
      </w:r>
      <w:r>
        <w:rPr>
          <w:rFonts w:ascii="Book Antiqua" w:hAnsi="Book Antiqua"/>
          <w:sz w:val="24"/>
          <w:szCs w:val="24"/>
        </w:rPr>
        <w:t>14/06/2021</w:t>
      </w:r>
      <w:r w:rsidRPr="00D04834">
        <w:rPr>
          <w:rFonts w:ascii="Book Antiqua" w:hAnsi="Book Antiqua"/>
          <w:sz w:val="24"/>
          <w:szCs w:val="24"/>
        </w:rPr>
        <w:t>, se previno al usuario para que, dentro del plazo de</w:t>
      </w:r>
      <w:r>
        <w:rPr>
          <w:rFonts w:ascii="Book Antiqua" w:hAnsi="Book Antiqua"/>
          <w:sz w:val="24"/>
          <w:szCs w:val="24"/>
        </w:rPr>
        <w:t xml:space="preserve"> diez</w:t>
      </w:r>
      <w:r w:rsidRPr="00D04834">
        <w:rPr>
          <w:rFonts w:ascii="Book Antiqua" w:hAnsi="Book Antiqua"/>
          <w:sz w:val="24"/>
          <w:szCs w:val="24"/>
        </w:rPr>
        <w:t xml:space="preserve"> días hábiles contados desde la última no</w:t>
      </w:r>
      <w:r>
        <w:rPr>
          <w:rFonts w:ascii="Book Antiqua" w:hAnsi="Book Antiqua"/>
          <w:sz w:val="24"/>
          <w:szCs w:val="24"/>
        </w:rPr>
        <w:t xml:space="preserve">tificación respectiva, aclarara algunos conceptos de su petición, asimismo, se le observa que falta anexar el documento de identidad y que calce su firma en la solicitud.  </w:t>
      </w:r>
      <w:r w:rsidRPr="003958A6">
        <w:rPr>
          <w:rFonts w:ascii="Book Antiqua" w:hAnsi="Book Antiqua"/>
          <w:b/>
          <w:sz w:val="24"/>
          <w:szCs w:val="24"/>
        </w:rPr>
        <w:t>III.</w:t>
      </w:r>
      <w:r>
        <w:rPr>
          <w:rFonts w:ascii="Book Antiqua" w:hAnsi="Book Antiqua"/>
          <w:sz w:val="24"/>
          <w:szCs w:val="24"/>
        </w:rPr>
        <w:t xml:space="preserve"> </w:t>
      </w:r>
      <w:r w:rsidRPr="00705F43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Dicha resolución fue notificada a las quince </w:t>
      </w:r>
      <w:r w:rsidRPr="00705F43">
        <w:rPr>
          <w:rFonts w:ascii="Book Antiqua" w:hAnsi="Book Antiqua"/>
          <w:sz w:val="24"/>
          <w:szCs w:val="24"/>
        </w:rPr>
        <w:t xml:space="preserve"> horas con </w:t>
      </w:r>
      <w:r>
        <w:rPr>
          <w:rFonts w:ascii="Book Antiqua" w:hAnsi="Book Antiqua"/>
          <w:sz w:val="24"/>
          <w:szCs w:val="24"/>
        </w:rPr>
        <w:t xml:space="preserve">dieciséis minutos, de esa misma fecha, </w:t>
      </w:r>
      <w:r w:rsidRPr="00705F43">
        <w:rPr>
          <w:rFonts w:ascii="Book Antiqua" w:hAnsi="Book Antiqua"/>
          <w:sz w:val="24"/>
          <w:szCs w:val="24"/>
        </w:rPr>
        <w:t xml:space="preserve">por medio de correo electrónico, remitiéndole una copia de la resolución antes relacionada, quien a la fecha no se ha pronunciado subsanando los señalamientos indicados. Así, el art. </w:t>
      </w:r>
      <w:r>
        <w:rPr>
          <w:rFonts w:ascii="Book Antiqua" w:hAnsi="Book Antiqua"/>
          <w:sz w:val="24"/>
          <w:szCs w:val="24"/>
        </w:rPr>
        <w:t xml:space="preserve">66 </w:t>
      </w:r>
      <w:proofErr w:type="gramStart"/>
      <w:r w:rsidRPr="00705F43">
        <w:rPr>
          <w:rFonts w:ascii="Book Antiqua" w:hAnsi="Book Antiqua"/>
          <w:sz w:val="24"/>
          <w:szCs w:val="24"/>
        </w:rPr>
        <w:t>inc.</w:t>
      </w:r>
      <w:proofErr w:type="gramEnd"/>
      <w:r w:rsidRPr="00705F43">
        <w:rPr>
          <w:rFonts w:ascii="Book Antiqua" w:hAnsi="Book Antiqua"/>
          <w:sz w:val="24"/>
          <w:szCs w:val="24"/>
        </w:rPr>
        <w:t xml:space="preserve"> 5° de la Ley de Acceso a la informac</w:t>
      </w:r>
      <w:r>
        <w:rPr>
          <w:rFonts w:ascii="Book Antiqua" w:hAnsi="Book Antiqua"/>
          <w:sz w:val="24"/>
          <w:szCs w:val="24"/>
        </w:rPr>
        <w:t>ión Pública, en relación al Art. 72 de la Ley de Procedimientos Administrativos,  este último, establece: “</w:t>
      </w:r>
      <w:r w:rsidRPr="008A158C">
        <w:rPr>
          <w:rFonts w:ascii="Book Antiqua" w:hAnsi="Book Antiqua"/>
          <w:i/>
        </w:rPr>
        <w:t>Si la solicitud o alguno de los actos del interesado no reúnen los requisitos necesarios, la Administración le requerirá para que, en el plazo de diez días, subsane la falta o acompañe los documentos que se le exijan, con indicación de que si no realiza la actuación requerida, se archivará su escrito sin más trámite y quedará a salvo su derecho de presentar nueva petición, si fuera procedente conforme a la Ley.</w:t>
      </w:r>
      <w:r>
        <w:rPr>
          <w:rFonts w:ascii="Book Antiqua" w:hAnsi="Book Antiqua"/>
          <w:i/>
        </w:rPr>
        <w:t xml:space="preserve">” </w:t>
      </w:r>
      <w:r w:rsidRPr="003958A6">
        <w:rPr>
          <w:rFonts w:ascii="Book Antiqua" w:hAnsi="Book Antiqua"/>
          <w:b/>
          <w:sz w:val="24"/>
          <w:szCs w:val="24"/>
        </w:rPr>
        <w:t xml:space="preserve">IV. </w:t>
      </w:r>
      <w:r w:rsidRPr="00705F43">
        <w:rPr>
          <w:rFonts w:ascii="Book Antiqua" w:hAnsi="Book Antiqua"/>
          <w:sz w:val="24"/>
          <w:szCs w:val="24"/>
        </w:rPr>
        <w:t xml:space="preserve">En ese sentido, siendo que el ciudadano no subsanó las prevenciones realizadas por esta Unidad, pese a haber transcurrido el plazo de </w:t>
      </w:r>
      <w:r>
        <w:rPr>
          <w:rFonts w:ascii="Book Antiqua" w:hAnsi="Book Antiqua"/>
          <w:sz w:val="24"/>
          <w:szCs w:val="24"/>
        </w:rPr>
        <w:t>diez</w:t>
      </w:r>
      <w:r w:rsidRPr="00705F43">
        <w:rPr>
          <w:rFonts w:ascii="Book Antiqua" w:hAnsi="Book Antiqua"/>
          <w:sz w:val="24"/>
          <w:szCs w:val="24"/>
        </w:rPr>
        <w:t xml:space="preserve"> días hábiles desde su notificación que se le otorgaron para tal efecto, por </w:t>
      </w:r>
      <w:r>
        <w:rPr>
          <w:rFonts w:ascii="Book Antiqua" w:hAnsi="Book Antiqua"/>
          <w:sz w:val="24"/>
          <w:szCs w:val="24"/>
        </w:rPr>
        <w:t xml:space="preserve">lo que </w:t>
      </w:r>
      <w:r w:rsidRPr="00705F43">
        <w:rPr>
          <w:rFonts w:ascii="Book Antiqua" w:hAnsi="Book Antiqua"/>
          <w:sz w:val="24"/>
          <w:szCs w:val="24"/>
        </w:rPr>
        <w:t xml:space="preserve">es procedente declarar inadmisible dicha solicitud, dejando expedito el derecho del solicitante de hacer un nuevo requerimiento de información si así lo decide, tomando en consideración los </w:t>
      </w:r>
      <w:r w:rsidRPr="00705F43">
        <w:rPr>
          <w:rFonts w:ascii="Book Antiqua" w:hAnsi="Book Antiqua"/>
          <w:sz w:val="24"/>
          <w:szCs w:val="24"/>
        </w:rPr>
        <w:lastRenderedPageBreak/>
        <w:t>parámetros que se le han propuesto en la prevención y los requisitos de</w:t>
      </w:r>
      <w:r>
        <w:rPr>
          <w:rFonts w:ascii="Book Antiqua" w:hAnsi="Book Antiqua"/>
          <w:sz w:val="24"/>
          <w:szCs w:val="24"/>
        </w:rPr>
        <w:t xml:space="preserve"> los </w:t>
      </w:r>
      <w:r w:rsidRPr="00705F43">
        <w:rPr>
          <w:rFonts w:ascii="Book Antiqua" w:hAnsi="Book Antiqua"/>
          <w:sz w:val="24"/>
          <w:szCs w:val="24"/>
        </w:rPr>
        <w:t>art</w:t>
      </w:r>
      <w:r>
        <w:rPr>
          <w:rFonts w:ascii="Book Antiqua" w:hAnsi="Book Antiqua"/>
          <w:sz w:val="24"/>
          <w:szCs w:val="24"/>
        </w:rPr>
        <w:t>s</w:t>
      </w:r>
      <w:r w:rsidRPr="00705F43">
        <w:rPr>
          <w:rFonts w:ascii="Book Antiqua" w:hAnsi="Book Antiqua"/>
          <w:sz w:val="24"/>
          <w:szCs w:val="24"/>
        </w:rPr>
        <w:t xml:space="preserve">. 66 de la Ley de </w:t>
      </w:r>
      <w:r>
        <w:rPr>
          <w:rFonts w:ascii="Book Antiqua" w:hAnsi="Book Antiqua"/>
          <w:sz w:val="24"/>
          <w:szCs w:val="24"/>
        </w:rPr>
        <w:t xml:space="preserve">Acceso a la Información Pública, 52 y54 del Reglamento de la mencionada normativa.  </w:t>
      </w:r>
      <w:r w:rsidRPr="00705F43">
        <w:rPr>
          <w:rFonts w:ascii="Book Antiqua" w:hAnsi="Book Antiqua"/>
          <w:b/>
          <w:sz w:val="24"/>
          <w:szCs w:val="24"/>
        </w:rPr>
        <w:t>POR TANTO</w:t>
      </w:r>
      <w:r w:rsidRPr="00705F43">
        <w:rPr>
          <w:rFonts w:ascii="Book Antiqua" w:hAnsi="Book Antiqua"/>
          <w:sz w:val="24"/>
          <w:szCs w:val="24"/>
        </w:rPr>
        <w:t>, con base en los arts. 66 inciso 5°, 71 y 72 de la Ley de Acceso a la Información Pública,</w:t>
      </w:r>
      <w:r>
        <w:rPr>
          <w:rFonts w:ascii="Book Antiqua" w:hAnsi="Book Antiqua"/>
          <w:sz w:val="24"/>
          <w:szCs w:val="24"/>
        </w:rPr>
        <w:t xml:space="preserve"> y normativa citada, </w:t>
      </w:r>
      <w:r w:rsidRPr="00705F43">
        <w:rPr>
          <w:rFonts w:ascii="Book Antiqua" w:hAnsi="Book Antiqua"/>
          <w:sz w:val="24"/>
          <w:szCs w:val="24"/>
        </w:rPr>
        <w:t>se resuelve: 1. Declárase i</w:t>
      </w:r>
      <w:r>
        <w:rPr>
          <w:rFonts w:ascii="Book Antiqua" w:hAnsi="Book Antiqua"/>
          <w:sz w:val="24"/>
          <w:szCs w:val="24"/>
        </w:rPr>
        <w:t>nadmisible la solicitud número MIGOBDT-2021-0070 presentada por el sr. Ronaldo Chavez</w:t>
      </w:r>
      <w:r w:rsidRPr="00705F43">
        <w:rPr>
          <w:rFonts w:ascii="Book Antiqua" w:hAnsi="Book Antiqua"/>
          <w:sz w:val="24"/>
          <w:szCs w:val="24"/>
        </w:rPr>
        <w:t xml:space="preserve"> el día </w:t>
      </w:r>
      <w:r>
        <w:rPr>
          <w:rFonts w:ascii="Book Antiqua" w:hAnsi="Book Antiqua"/>
          <w:sz w:val="24"/>
          <w:szCs w:val="24"/>
        </w:rPr>
        <w:t>15</w:t>
      </w:r>
      <w:r w:rsidRPr="00705F43">
        <w:rPr>
          <w:rFonts w:ascii="Book Antiqua" w:hAnsi="Book Antiqua"/>
          <w:sz w:val="24"/>
          <w:szCs w:val="24"/>
        </w:rPr>
        <w:t>/0</w:t>
      </w:r>
      <w:r>
        <w:rPr>
          <w:rFonts w:ascii="Book Antiqua" w:hAnsi="Book Antiqua"/>
          <w:sz w:val="24"/>
          <w:szCs w:val="24"/>
        </w:rPr>
        <w:t>6</w:t>
      </w:r>
      <w:r w:rsidRPr="00705F43">
        <w:rPr>
          <w:rFonts w:ascii="Book Antiqua" w:hAnsi="Book Antiqua"/>
          <w:sz w:val="24"/>
          <w:szCs w:val="24"/>
        </w:rPr>
        <w:t>/20</w:t>
      </w:r>
      <w:r>
        <w:rPr>
          <w:rFonts w:ascii="Book Antiqua" w:hAnsi="Book Antiqua"/>
          <w:sz w:val="24"/>
          <w:szCs w:val="24"/>
        </w:rPr>
        <w:t>21</w:t>
      </w:r>
      <w:r w:rsidRPr="00705F43">
        <w:rPr>
          <w:rFonts w:ascii="Book Antiqua" w:hAnsi="Book Antiqua"/>
          <w:sz w:val="24"/>
          <w:szCs w:val="24"/>
        </w:rPr>
        <w:t>, por no haber contestado dentro del plazo legal correspondiente las prevenciones emitida por resolución de fecha 1</w:t>
      </w:r>
      <w:r>
        <w:rPr>
          <w:rFonts w:ascii="Book Antiqua" w:hAnsi="Book Antiqua"/>
          <w:sz w:val="24"/>
          <w:szCs w:val="24"/>
        </w:rPr>
        <w:t>4</w:t>
      </w:r>
      <w:r w:rsidRPr="00705F43">
        <w:rPr>
          <w:rFonts w:ascii="Book Antiqua" w:hAnsi="Book Antiqua"/>
          <w:sz w:val="24"/>
          <w:szCs w:val="24"/>
        </w:rPr>
        <w:t>/0</w:t>
      </w:r>
      <w:r>
        <w:rPr>
          <w:rFonts w:ascii="Book Antiqua" w:hAnsi="Book Antiqua"/>
          <w:sz w:val="24"/>
          <w:szCs w:val="24"/>
        </w:rPr>
        <w:t>6</w:t>
      </w:r>
      <w:r w:rsidRPr="00705F43">
        <w:rPr>
          <w:rFonts w:ascii="Book Antiqua" w:hAnsi="Book Antiqua"/>
          <w:sz w:val="24"/>
          <w:szCs w:val="24"/>
        </w:rPr>
        <w:t>/20</w:t>
      </w:r>
      <w:r>
        <w:rPr>
          <w:rFonts w:ascii="Book Antiqua" w:hAnsi="Book Antiqua"/>
          <w:sz w:val="24"/>
          <w:szCs w:val="24"/>
        </w:rPr>
        <w:t>21</w:t>
      </w:r>
      <w:r w:rsidRPr="00705F43">
        <w:rPr>
          <w:rFonts w:ascii="Book Antiqua" w:hAnsi="Book Antiqua"/>
          <w:sz w:val="24"/>
          <w:szCs w:val="24"/>
        </w:rPr>
        <w:t xml:space="preserve">. 2. Infórmese al ciudadano que puede plantear una nueva solicitud respecto de este mismo tema, si así lo estima conveniente, debiéndose sujetar a los requisitos dispuestos en la citada ley y en la observaciones realizadas en la aludida prevención. 3. </w:t>
      </w:r>
      <w:r w:rsidRPr="008A158C">
        <w:rPr>
          <w:rFonts w:ascii="Book Antiqua" w:hAnsi="Book Antiqua"/>
          <w:b/>
          <w:sz w:val="24"/>
          <w:szCs w:val="24"/>
        </w:rPr>
        <w:t>NOTIFÍQUESE.</w:t>
      </w:r>
    </w:p>
    <w:p w:rsidR="006218E3" w:rsidRDefault="006218E3" w:rsidP="006218E3">
      <w:pPr>
        <w:jc w:val="both"/>
        <w:rPr>
          <w:rFonts w:ascii="Book Antiqua" w:hAnsi="Book Antiqua"/>
          <w:b/>
          <w:sz w:val="24"/>
          <w:szCs w:val="24"/>
        </w:rPr>
      </w:pPr>
    </w:p>
    <w:p w:rsidR="006218E3" w:rsidRDefault="006218E3" w:rsidP="006218E3">
      <w:pPr>
        <w:jc w:val="both"/>
        <w:rPr>
          <w:rFonts w:ascii="Book Antiqua" w:hAnsi="Book Antiqua"/>
          <w:b/>
          <w:sz w:val="24"/>
          <w:szCs w:val="24"/>
        </w:rPr>
      </w:pPr>
    </w:p>
    <w:p w:rsidR="006218E3" w:rsidRDefault="006218E3" w:rsidP="006218E3">
      <w:pPr>
        <w:jc w:val="both"/>
        <w:rPr>
          <w:rFonts w:ascii="Book Antiqua" w:hAnsi="Book Antiqua"/>
          <w:b/>
          <w:sz w:val="24"/>
          <w:szCs w:val="24"/>
        </w:rPr>
      </w:pPr>
    </w:p>
    <w:p w:rsidR="006218E3" w:rsidRDefault="006218E3" w:rsidP="006218E3">
      <w:pPr>
        <w:jc w:val="both"/>
        <w:rPr>
          <w:rFonts w:ascii="Book Antiqua" w:hAnsi="Book Antiqua"/>
          <w:b/>
          <w:sz w:val="24"/>
          <w:szCs w:val="24"/>
        </w:rPr>
      </w:pPr>
    </w:p>
    <w:p w:rsidR="006218E3" w:rsidRDefault="006218E3" w:rsidP="006218E3">
      <w:pPr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</w:p>
    <w:p w:rsidR="006218E3" w:rsidRDefault="006218E3" w:rsidP="006218E3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JENNI VANESSA QUINTANILLA GARCIA</w:t>
      </w:r>
    </w:p>
    <w:p w:rsidR="006218E3" w:rsidRPr="008A158C" w:rsidRDefault="006218E3" w:rsidP="006218E3">
      <w:pPr>
        <w:spacing w:after="0"/>
        <w:jc w:val="center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OFICIAL DE INFORMACIÓN AD HONOREM</w:t>
      </w:r>
    </w:p>
    <w:p w:rsidR="00DD3B70" w:rsidRDefault="006218E3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E3"/>
    <w:rsid w:val="006218E3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8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8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2021-09-08T20:44:00Z</dcterms:created>
  <dcterms:modified xsi:type="dcterms:W3CDTF">2021-09-08T20:44:00Z</dcterms:modified>
</cp:coreProperties>
</file>