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BF" w:rsidRDefault="000A30BF" w:rsidP="000A30B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0A30BF" w:rsidRDefault="000A30BF" w:rsidP="000A30B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0A30BF" w:rsidRPr="0022486B" w:rsidRDefault="000A30BF" w:rsidP="000A30BF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0A30BF" w:rsidRDefault="000A30BF" w:rsidP="000A30B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0A30BF" w:rsidRDefault="000A30BF" w:rsidP="000A30B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>RESOLUCIÓN NO. 67/2021</w:t>
      </w:r>
    </w:p>
    <w:p w:rsidR="000A30BF" w:rsidRDefault="000A30BF" w:rsidP="000A30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trece horas con cinco minutos del día dieciocho de junio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admitida  la solicitud de información, en fecha 1 de junio de 2021, a nombre del señor </w:t>
      </w:r>
      <w:r>
        <w:rPr>
          <w:rFonts w:ascii="Book Antiqua" w:hAnsi="Book Antiqua"/>
          <w:lang w:val="es-ES" w:eastAsia="es-ES"/>
        </w:rPr>
        <w:t>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MIGOBDT-2021-00</w:t>
      </w:r>
      <w:r>
        <w:rPr>
          <w:rFonts w:ascii="Book Antiqua" w:hAnsi="Book Antiqua"/>
          <w:b/>
          <w:lang w:val="es-ES" w:eastAsia="es-ES"/>
        </w:rPr>
        <w:t>57</w:t>
      </w:r>
      <w:r>
        <w:rPr>
          <w:rFonts w:ascii="Book Antiqua" w:hAnsi="Book Antiqua"/>
          <w:shd w:val="clear" w:color="auto" w:fill="FFFFFF"/>
        </w:rPr>
        <w:t>.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LAIP, se remite el requerimiento  a la Dirección Jurídica y Dirección de Asociaciones y Fundaciones sin Fines de Lucro, la cual indica que por ser copias certificadas deberán cancelarse los aranceles correspondientes.  </w:t>
      </w:r>
      <w:r w:rsidRPr="00522913">
        <w:rPr>
          <w:rFonts w:ascii="Book Antiqua" w:hAnsi="Book Antiqua"/>
          <w:b/>
        </w:rPr>
        <w:t>I</w:t>
      </w:r>
      <w:r>
        <w:rPr>
          <w:rFonts w:ascii="Book Antiqua" w:hAnsi="Book Antiqua"/>
          <w:b/>
        </w:rPr>
        <w:t xml:space="preserve">II. </w:t>
      </w:r>
      <w:r w:rsidRPr="00522913">
        <w:rPr>
          <w:rFonts w:ascii="Book Antiqua" w:hAnsi="Book Antiqua"/>
        </w:rPr>
        <w:t>Por</w:t>
      </w:r>
      <w:r>
        <w:rPr>
          <w:rFonts w:ascii="Book Antiqua" w:hAnsi="Book Antiqua"/>
        </w:rPr>
        <w:t xml:space="preserve"> lo que en atención al Art. 61 inc. 2do de la LAIP que estipula lo siguiente: </w:t>
      </w:r>
      <w:r w:rsidRPr="00522913">
        <w:rPr>
          <w:rFonts w:ascii="Book Antiqua" w:hAnsi="Book Antiqua"/>
          <w:i/>
        </w:rPr>
        <w:t>“En caso de copias certificadas, se aplicarán las tasas previstas en leyes especiales (…) “,</w:t>
      </w:r>
      <w:r>
        <w:rPr>
          <w:rFonts w:ascii="Book Antiqua" w:hAnsi="Book Antiqua"/>
          <w:i/>
        </w:rPr>
        <w:t xml:space="preserve"> </w:t>
      </w:r>
      <w:r>
        <w:rPr>
          <w:rFonts w:ascii="Book Antiqua" w:hAnsi="Book Antiqua"/>
        </w:rPr>
        <w:t>asimismo, el Art. 62 de la mencionada normativa establece: “los entes obligados de entregar únicamente información que se encuentre en su poder. La obligación de acceso se dará por cumplida cuando se ponga a disposición del solicitante para consulta directa los documentos donde se encuentren; o bien, mediante expedición de copias simples, certificadas (…)</w:t>
      </w:r>
      <w:proofErr w:type="gramStart"/>
      <w:r>
        <w:rPr>
          <w:rFonts w:ascii="Book Antiqua" w:hAnsi="Book Antiqua"/>
        </w:rPr>
        <w:t>” ,</w:t>
      </w:r>
      <w:proofErr w:type="gramEnd"/>
      <w:r>
        <w:rPr>
          <w:rFonts w:ascii="Book Antiqua" w:hAnsi="Book Antiqua"/>
        </w:rPr>
        <w:t xml:space="preserve"> por lo que el solicitante deberá acudir al Registro de Asociaciones y Fundaciones Sin Fines de Lucro a cancelar las tasas previstas para las copias certificadas y siendo un servicio disponible en dicha oficina, retirar dicha documentación en esa unidad administrativa.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  <w:lang w:val="es-ES" w:eastAsia="es-ES"/>
        </w:rPr>
        <w:t xml:space="preserve">NOTIFÍQUESE.- </w:t>
      </w:r>
    </w:p>
    <w:p w:rsidR="000A30BF" w:rsidRDefault="000A30BF" w:rsidP="000A30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0A30BF" w:rsidRDefault="000A30BF" w:rsidP="000A30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0A30BF" w:rsidRDefault="000A30BF" w:rsidP="000A30B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0A30BF" w:rsidRDefault="000A30BF" w:rsidP="000A30B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0A30BF" w:rsidRDefault="000A30BF" w:rsidP="000A30BF"/>
    <w:p w:rsidR="000A30BF" w:rsidRDefault="000A30BF" w:rsidP="000A30BF"/>
    <w:p w:rsidR="00DD3B70" w:rsidRDefault="000A30BF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F"/>
    <w:rsid w:val="000A30BF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2021-09-08T16:33:00Z</dcterms:created>
  <dcterms:modified xsi:type="dcterms:W3CDTF">2021-09-08T16:35:00Z</dcterms:modified>
</cp:coreProperties>
</file>