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BF" w:rsidRDefault="00FC5BBF" w:rsidP="00FC5BB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C5BBF" w:rsidRPr="0022486B" w:rsidRDefault="00FC5BBF" w:rsidP="00FC5BBF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FC5BBF" w:rsidRDefault="00FC5BBF" w:rsidP="00FC5BB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C5BBF" w:rsidRDefault="00FC5BBF" w:rsidP="00FC5BB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C5BBF" w:rsidRPr="008D6FD3" w:rsidRDefault="00FC5BBF" w:rsidP="00FC5BB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D6FD3">
        <w:rPr>
          <w:rFonts w:ascii="Book Antiqua" w:hAnsi="Book Antiqua"/>
          <w:b/>
          <w:sz w:val="24"/>
          <w:szCs w:val="24"/>
        </w:rPr>
        <w:t xml:space="preserve">RESOLUCIÓN NO. 63/2021 </w:t>
      </w:r>
    </w:p>
    <w:p w:rsidR="00FC5BBF" w:rsidRPr="008D6FD3" w:rsidRDefault="00FC5BBF" w:rsidP="00FC5B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FC5BBF" w:rsidRPr="008D6FD3" w:rsidRDefault="00FC5BBF" w:rsidP="00FC5B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shd w:val="clear" w:color="auto" w:fill="FEFEFE"/>
        </w:rPr>
      </w:pPr>
      <w:r w:rsidRPr="008D6FD3">
        <w:rPr>
          <w:rFonts w:ascii="Book Antiqua" w:hAnsi="Book Antiqua"/>
          <w:lang w:val="es-ES" w:eastAsia="es-ES"/>
        </w:rPr>
        <w:t xml:space="preserve">En </w:t>
      </w:r>
      <w:r w:rsidRPr="008D6FD3">
        <w:rPr>
          <w:rFonts w:ascii="Book Antiqua" w:hAnsi="Book Antiqua"/>
        </w:rPr>
        <w:t xml:space="preserve">la Unidad de Acceso a la Información Pública del Ministerio de Gobernación y Desarrollo Territorial: San Salvador, a las diez horas y veinte minutos del día catorce de junio de dos mil veintiuno. </w:t>
      </w:r>
      <w:r w:rsidRPr="008D6FD3">
        <w:rPr>
          <w:rFonts w:ascii="Book Antiqua" w:hAnsi="Book Antiqua"/>
          <w:b/>
        </w:rPr>
        <w:t xml:space="preserve">CONSIDERANDO: I. </w:t>
      </w:r>
      <w:r w:rsidRPr="008D6FD3">
        <w:rPr>
          <w:rFonts w:ascii="Book Antiqua" w:hAnsi="Book Antiqua"/>
          <w:lang w:val="es-ES" w:eastAsia="es-ES"/>
        </w:rPr>
        <w:t xml:space="preserve">Téngase por recibida la solicitud de información ingresada por medio correo electrónico, en fecha 11 de junio del presente año, a nombre de la licenciada </w:t>
      </w:r>
      <w:r>
        <w:rPr>
          <w:rFonts w:ascii="Book Antiqua" w:hAnsi="Book Antiqua"/>
          <w:lang w:val="es-ES" w:eastAsia="es-ES"/>
        </w:rPr>
        <w:t>***</w:t>
      </w:r>
      <w:bookmarkStart w:id="0" w:name="_GoBack"/>
      <w:bookmarkEnd w:id="0"/>
      <w:r w:rsidRPr="008D6FD3">
        <w:rPr>
          <w:rFonts w:ascii="Book Antiqua" w:hAnsi="Book Antiqua"/>
          <w:b/>
          <w:lang w:val="es-ES" w:eastAsia="es-ES"/>
        </w:rPr>
        <w:t xml:space="preserve">, </w:t>
      </w:r>
      <w:r w:rsidRPr="008D6FD3">
        <w:rPr>
          <w:rFonts w:ascii="Book Antiqua" w:hAnsi="Book Antiqua"/>
          <w:lang w:val="es-ES" w:eastAsia="es-ES"/>
        </w:rPr>
        <w:t xml:space="preserve">registrada por esta Unidad bajo el correlativo </w:t>
      </w:r>
      <w:r w:rsidRPr="008D6FD3">
        <w:rPr>
          <w:rFonts w:ascii="Book Antiqua" w:hAnsi="Book Antiqua"/>
          <w:b/>
          <w:lang w:val="es-ES" w:eastAsia="es-ES"/>
        </w:rPr>
        <w:t>MIGOBDT-2021-0068</w:t>
      </w:r>
      <w:r w:rsidRPr="008D6FD3">
        <w:rPr>
          <w:rFonts w:ascii="Book Antiqua" w:hAnsi="Book Antiqua"/>
          <w:shd w:val="clear" w:color="auto" w:fill="FFFFFF"/>
        </w:rPr>
        <w:t xml:space="preserve">, en la que esencial y textualmente requiere: </w:t>
      </w:r>
      <w:r w:rsidRPr="008D6FD3">
        <w:rPr>
          <w:rFonts w:ascii="Book Antiqua" w:hAnsi="Book Antiqua"/>
          <w:i/>
          <w:shd w:val="clear" w:color="auto" w:fill="FFFFFF"/>
        </w:rPr>
        <w:t xml:space="preserve">“I) De la Sociedad Armando Tomás Monedero Barreiro, Sociedad Anónima de Capital  Variable A.T.M.S. A la Escritura Pública de la Constitución de Sociedad. II) Credencial del Representante Legal, de dicha sociedad. III) Si actualmente  dicha sociedad está fungiendo como tal y el domicilio de la referida sociedad y su representante legal.” </w:t>
      </w:r>
      <w:r w:rsidRPr="008D6FD3">
        <w:rPr>
          <w:rFonts w:ascii="Book Antiqua" w:hAnsi="Book Antiqua"/>
          <w:shd w:val="clear" w:color="auto" w:fill="FFFFFF"/>
        </w:rPr>
        <w:t xml:space="preserve"> </w:t>
      </w:r>
      <w:r w:rsidRPr="008D6FD3">
        <w:rPr>
          <w:rFonts w:ascii="Book Antiqua" w:hAnsi="Book Antiqua"/>
          <w:b/>
          <w:shd w:val="clear" w:color="auto" w:fill="FFFFFF"/>
        </w:rPr>
        <w:t>II.</w:t>
      </w:r>
      <w:r w:rsidRPr="008D6FD3">
        <w:rPr>
          <w:rFonts w:ascii="Book Antiqua" w:hAnsi="Book Antiqua"/>
          <w:shd w:val="clear" w:color="auto" w:fill="FFFFFF"/>
        </w:rPr>
        <w:t xml:space="preserve"> </w:t>
      </w:r>
      <w:r w:rsidRPr="008D6FD3">
        <w:rPr>
          <w:rFonts w:ascii="Book Antiqua" w:hAnsi="Book Antiqua" w:cs="Helvetica"/>
          <w:shd w:val="clear" w:color="auto" w:fill="FFFFFF"/>
        </w:rPr>
        <w:t xml:space="preserve">Que el Art. 66 de la Ley de Acceso a la Información Pública –LAIP- establece los requisitos que debe contener la solicitud de información, los cuales han sido atendidos por el solicitante, no obstante, al realizar el análisis respectivo </w:t>
      </w:r>
      <w:r w:rsidRPr="008D6FD3">
        <w:rPr>
          <w:rFonts w:ascii="Book Antiqua" w:hAnsi="Book Antiqua" w:cs="Helvetica"/>
          <w:b/>
          <w:u w:val="single"/>
          <w:shd w:val="clear" w:color="auto" w:fill="FFFFFF"/>
        </w:rPr>
        <w:t>se advierte</w:t>
      </w:r>
      <w:r w:rsidRPr="008D6FD3">
        <w:rPr>
          <w:rFonts w:ascii="Book Antiqua" w:hAnsi="Book Antiqua" w:cs="Helvetica"/>
          <w:shd w:val="clear" w:color="auto" w:fill="FFFFFF"/>
        </w:rPr>
        <w:t xml:space="preserve"> que lo solicitado no es parte de las competencias dirimidas por el Ministerio de Gobernación y Desarrollo Territorial. </w:t>
      </w:r>
      <w:r w:rsidRPr="008D6FD3">
        <w:rPr>
          <w:rFonts w:ascii="Book Antiqua" w:hAnsi="Book Antiqua" w:cs="Helvetica"/>
          <w:b/>
          <w:shd w:val="clear" w:color="auto" w:fill="FFFFFF"/>
        </w:rPr>
        <w:t>III.</w:t>
      </w:r>
      <w:r w:rsidRPr="008D6FD3">
        <w:rPr>
          <w:rFonts w:ascii="Book Antiqua" w:hAnsi="Book Antiqua" w:cs="Helvetica"/>
          <w:shd w:val="clear" w:color="auto" w:fill="FFFFFF"/>
        </w:rPr>
        <w:t xml:space="preserve"> Que de conformidad al Art. 25 del Código de Comercial que establece: “</w:t>
      </w:r>
      <w:r w:rsidRPr="008D6FD3">
        <w:rPr>
          <w:rFonts w:ascii="Book Antiqua" w:hAnsi="Book Antiqua"/>
        </w:rPr>
        <w:t xml:space="preserve">La personalidad jurídica de las sociedades se perfecciona y se extingue por la inscripción en el </w:t>
      </w:r>
      <w:r w:rsidRPr="008D6FD3">
        <w:rPr>
          <w:rFonts w:ascii="Book Antiqua" w:hAnsi="Book Antiqua"/>
          <w:b/>
          <w:u w:val="single"/>
        </w:rPr>
        <w:t>Registro de Comercio</w:t>
      </w:r>
      <w:r w:rsidRPr="008D6FD3">
        <w:rPr>
          <w:rFonts w:ascii="Book Antiqua" w:hAnsi="Book Antiqua"/>
        </w:rPr>
        <w:t xml:space="preserve"> de los documentos respectivos”, que dicha entidad pertenece al  Centro Nacional de Registros, CNR, como puede verificarse en: </w:t>
      </w:r>
      <w:hyperlink r:id="rId5" w:history="1">
        <w:r w:rsidRPr="008D6FD3">
          <w:rPr>
            <w:rStyle w:val="Hipervnculo"/>
            <w:rFonts w:ascii="Book Antiqua" w:hAnsi="Book Antiqua"/>
          </w:rPr>
          <w:t>https://www.cnr.gob.sv/marco-institucional/</w:t>
        </w:r>
      </w:hyperlink>
      <w:r w:rsidRPr="008D6FD3">
        <w:rPr>
          <w:rFonts w:ascii="Book Antiqua" w:hAnsi="Book Antiqua"/>
        </w:rPr>
        <w:t xml:space="preserve">. Por lo que </w:t>
      </w:r>
      <w:r w:rsidRPr="008D6FD3">
        <w:rPr>
          <w:rFonts w:ascii="Book Antiqua" w:hAnsi="Book Antiqua" w:cs="Helvetica"/>
          <w:shd w:val="clear" w:color="auto" w:fill="FFFFFF"/>
        </w:rPr>
        <w:t xml:space="preserve">la información solicitada en esta oportunidad no es generada ni administrada por esta Institución, en consecuencia es procedente declarar en este acto la </w:t>
      </w:r>
      <w:proofErr w:type="spellStart"/>
      <w:r w:rsidRPr="008D6FD3">
        <w:rPr>
          <w:rFonts w:ascii="Book Antiqua" w:hAnsi="Book Antiqua" w:cs="Helvetica"/>
          <w:shd w:val="clear" w:color="auto" w:fill="FFFFFF"/>
        </w:rPr>
        <w:t>improponibilidad</w:t>
      </w:r>
      <w:proofErr w:type="spellEnd"/>
      <w:r w:rsidRPr="008D6FD3">
        <w:rPr>
          <w:rFonts w:ascii="Book Antiqua" w:hAnsi="Book Antiqua" w:cs="Helvetica"/>
          <w:shd w:val="clear" w:color="auto" w:fill="FFFFFF"/>
        </w:rPr>
        <w:t xml:space="preserve"> de la solicitud por la  incompetencia de esta Unidad para dar respuesta a lo requerido, debiendo orientar al solicitante a que dirija su petición ante la Unidad de Acceso a la Información Pública del CNR. </w:t>
      </w:r>
      <w:r w:rsidRPr="008D6FD3">
        <w:rPr>
          <w:rFonts w:ascii="Book Antiqua" w:hAnsi="Book Antiqua"/>
          <w:b/>
          <w:lang w:val="es-ES" w:eastAsia="es-ES"/>
        </w:rPr>
        <w:t xml:space="preserve">POR TANTO, </w:t>
      </w:r>
      <w:r w:rsidRPr="008D6FD3"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49, 50, 62 y 72 de la Ley de Acceso a la Información Pública, esta Dependencia</w:t>
      </w:r>
      <w:r w:rsidRPr="008D6FD3">
        <w:rPr>
          <w:rFonts w:ascii="Book Antiqua" w:hAnsi="Book Antiqua"/>
          <w:b/>
          <w:lang w:val="es-ES" w:eastAsia="es-ES"/>
        </w:rPr>
        <w:t>, RESUELVE: 1°</w:t>
      </w:r>
      <w:r w:rsidRPr="008D6FD3">
        <w:rPr>
          <w:rFonts w:ascii="Book Antiqua" w:hAnsi="Book Antiqua"/>
        </w:rPr>
        <w:t xml:space="preserve"> </w:t>
      </w:r>
      <w:r w:rsidRPr="008D6FD3">
        <w:rPr>
          <w:rFonts w:ascii="Book Antiqua" w:hAnsi="Book Antiqua"/>
          <w:b/>
          <w:lang w:val="es-ES" w:eastAsia="es-ES"/>
        </w:rPr>
        <w:t>Declárese</w:t>
      </w:r>
      <w:r w:rsidRPr="008D6FD3">
        <w:rPr>
          <w:rFonts w:ascii="Book Antiqua" w:hAnsi="Book Antiqua"/>
          <w:lang w:val="es-ES" w:eastAsia="es-ES"/>
        </w:rPr>
        <w:t xml:space="preserve"> la incompetencia de esta UAIP para atender y dar respuesta a la petición relacionada en el Romano I de la presente Resolución.  </w:t>
      </w:r>
      <w:r w:rsidRPr="008D6FD3">
        <w:rPr>
          <w:rFonts w:ascii="Book Antiqua" w:hAnsi="Book Antiqua"/>
          <w:b/>
          <w:lang w:val="es-ES" w:eastAsia="es-ES"/>
        </w:rPr>
        <w:t>2°</w:t>
      </w:r>
      <w:r w:rsidRPr="008D6FD3">
        <w:rPr>
          <w:rFonts w:ascii="Book Antiqua" w:hAnsi="Book Antiqua"/>
          <w:lang w:val="es-ES" w:eastAsia="es-ES"/>
        </w:rPr>
        <w:t xml:space="preserve"> </w:t>
      </w:r>
      <w:r w:rsidRPr="008D6FD3">
        <w:rPr>
          <w:rFonts w:ascii="Book Antiqua" w:hAnsi="Book Antiqua" w:cs="Helvetica"/>
          <w:b/>
          <w:shd w:val="clear" w:color="auto" w:fill="FFFFFF"/>
        </w:rPr>
        <w:t xml:space="preserve">Oriéntese </w:t>
      </w:r>
      <w:r w:rsidRPr="008D6FD3">
        <w:rPr>
          <w:rFonts w:ascii="Book Antiqua" w:hAnsi="Book Antiqua" w:cs="Helvetica"/>
          <w:shd w:val="clear" w:color="auto" w:fill="FFFFFF"/>
        </w:rPr>
        <w:t xml:space="preserve">al ciudadano a que haga uso de su Derecho de Acceso a la Información,  ante la Unidad de Acceso a la Información Pública del Centro </w:t>
      </w:r>
      <w:r w:rsidRPr="008D6FD3">
        <w:rPr>
          <w:rFonts w:ascii="Book Antiqua" w:hAnsi="Book Antiqua" w:cs="Helvetica"/>
          <w:shd w:val="clear" w:color="auto" w:fill="FFFFFF"/>
        </w:rPr>
        <w:lastRenderedPageBreak/>
        <w:t xml:space="preserve">Nacional de Registros, enviando su solicitud a: </w:t>
      </w:r>
      <w:hyperlink r:id="rId6" w:history="1">
        <w:r w:rsidRPr="008D6FD3">
          <w:rPr>
            <w:rStyle w:val="Hipervnculo"/>
            <w:rFonts w:ascii="Book Antiqua" w:hAnsi="Book Antiqua" w:cs="Arial"/>
            <w:color w:val="314F8D"/>
            <w:shd w:val="clear" w:color="auto" w:fill="FEFEFE"/>
          </w:rPr>
          <w:t>uaip@cnr.gob.sv</w:t>
        </w:r>
      </w:hyperlink>
      <w:r w:rsidRPr="008D6FD3">
        <w:rPr>
          <w:rFonts w:ascii="Book Antiqua" w:hAnsi="Book Antiqua"/>
        </w:rPr>
        <w:t xml:space="preserve"> o presentándose en </w:t>
      </w:r>
      <w:r w:rsidRPr="008D6FD3">
        <w:rPr>
          <w:rFonts w:ascii="Book Antiqua" w:hAnsi="Book Antiqua" w:cs="Arial"/>
          <w:color w:val="383838"/>
          <w:shd w:val="clear" w:color="auto" w:fill="FEFEFE"/>
        </w:rPr>
        <w:t>1a. Calle Poniente y 43 Av. Norte # 4310</w:t>
      </w:r>
      <w:r>
        <w:rPr>
          <w:rFonts w:ascii="Book Antiqua" w:hAnsi="Book Antiqua" w:cs="Arial"/>
          <w:shd w:val="clear" w:color="auto" w:fill="FEFEFE"/>
        </w:rPr>
        <w:t xml:space="preserve">. </w:t>
      </w:r>
      <w:r w:rsidRPr="00383130">
        <w:rPr>
          <w:rFonts w:ascii="Book Antiqua" w:hAnsi="Book Antiqua" w:cs="Helvetica"/>
          <w:b/>
          <w:szCs w:val="21"/>
          <w:shd w:val="clear" w:color="auto" w:fill="FFFFFF"/>
        </w:rPr>
        <w:t>3°</w:t>
      </w:r>
      <w:r w:rsidRPr="00383130">
        <w:rPr>
          <w:rFonts w:ascii="Book Antiqua" w:hAnsi="Book Antiqua"/>
          <w:b/>
          <w:lang w:val="es-ES" w:eastAsia="es-ES"/>
        </w:rPr>
        <w:t xml:space="preserve"> Habilítese </w:t>
      </w:r>
      <w:r w:rsidRPr="00383130">
        <w:rPr>
          <w:rFonts w:ascii="Book Antiqua" w:hAnsi="Book Antiqua"/>
          <w:lang w:val="es-ES" w:eastAsia="es-ES"/>
        </w:rPr>
        <w:t>a la solicitante su derecho a recurrir conforme al Art. 82 de la Ley de Acceso a la Información.</w:t>
      </w:r>
      <w:r w:rsidRPr="00383130">
        <w:rPr>
          <w:rFonts w:ascii="Book Antiqua" w:hAnsi="Book Antiqua"/>
          <w:b/>
          <w:lang w:val="es-ES" w:eastAsia="es-ES"/>
        </w:rPr>
        <w:t xml:space="preserve"> 4° Remítase </w:t>
      </w:r>
      <w:r w:rsidRPr="00383130">
        <w:rPr>
          <w:rFonts w:ascii="Book Antiqua" w:hAnsi="Book Antiqua"/>
          <w:lang w:val="es-ES" w:eastAsia="es-ES"/>
        </w:rPr>
        <w:t>la presente por medio señalado para tal efecto.</w:t>
      </w:r>
      <w:r w:rsidRPr="00383130">
        <w:rPr>
          <w:rFonts w:ascii="Book Antiqua" w:hAnsi="Book Antiqua"/>
          <w:b/>
          <w:lang w:val="es-ES" w:eastAsia="es-ES"/>
        </w:rPr>
        <w:t xml:space="preserve"> NOTIFIQUESE.</w:t>
      </w:r>
    </w:p>
    <w:p w:rsidR="00FC5BBF" w:rsidRDefault="00FC5BBF" w:rsidP="00FC5BBF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FC5BBF" w:rsidRDefault="00FC5BBF" w:rsidP="00FC5BBF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FC5BBF" w:rsidRDefault="00FC5BBF" w:rsidP="00FC5BBF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FC5BBF" w:rsidRDefault="00FC5BBF" w:rsidP="00FC5BBF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FC5BBF" w:rsidRPr="00383130" w:rsidRDefault="00FC5BBF" w:rsidP="00FC5BBF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FC5BBF" w:rsidRPr="00383130" w:rsidRDefault="00FC5BBF" w:rsidP="00FC5BBF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Oficial de Información Ad Honorem</w:t>
      </w:r>
    </w:p>
    <w:p w:rsidR="00DD3B70" w:rsidRDefault="00FC5BBF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BF"/>
    <w:rsid w:val="00876156"/>
    <w:rsid w:val="00E37341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FC5B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B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FC5B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aip@cnr.gob.sv" TargetMode="External"/><Relationship Id="rId5" Type="http://schemas.openxmlformats.org/officeDocument/2006/relationships/hyperlink" Target="https://www.cnr.gob.sv/marco-institucio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2021-09-08T14:22:00Z</dcterms:created>
  <dcterms:modified xsi:type="dcterms:W3CDTF">2021-09-08T14:24:00Z</dcterms:modified>
</cp:coreProperties>
</file>