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12C" w:rsidRPr="00B16D19" w:rsidRDefault="0011412C" w:rsidP="0011412C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</w:rPr>
      </w:pPr>
      <w:r w:rsidRPr="00B16D19">
        <w:rPr>
          <w:rFonts w:ascii="Book Antiqua" w:hAnsi="Book Antiqua"/>
          <w:b/>
        </w:rPr>
        <w:t>RESOLUCIÓN NO. 27/2021</w:t>
      </w:r>
    </w:p>
    <w:p w:rsidR="0011412C" w:rsidRPr="00B16D19" w:rsidRDefault="0011412C" w:rsidP="0011412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hd w:val="clear" w:color="auto" w:fill="FFFFFF"/>
        </w:rPr>
      </w:pPr>
      <w:r w:rsidRPr="00B16D19">
        <w:rPr>
          <w:rFonts w:ascii="Book Antiqua" w:hAnsi="Book Antiqua"/>
          <w:lang w:val="es-ES" w:eastAsia="es-ES"/>
        </w:rPr>
        <w:t xml:space="preserve">En </w:t>
      </w:r>
      <w:r w:rsidRPr="00B16D19">
        <w:rPr>
          <w:rFonts w:ascii="Book Antiqua" w:hAnsi="Book Antiqua"/>
        </w:rPr>
        <w:t xml:space="preserve">la Unidad de Acceso a la Información Pública del Ministerio de Gobernación y Desarrollo Territorial: San Salvador, a las doce horas del día doce de abril  de dos mil veintiuno. </w:t>
      </w:r>
      <w:r w:rsidRPr="00B16D19">
        <w:rPr>
          <w:rFonts w:ascii="Book Antiqua" w:hAnsi="Book Antiqua"/>
          <w:b/>
        </w:rPr>
        <w:t xml:space="preserve">CONSIDERANDO: I. </w:t>
      </w:r>
      <w:r w:rsidRPr="00B16D19">
        <w:rPr>
          <w:rFonts w:ascii="Book Antiqua" w:hAnsi="Book Antiqua"/>
          <w:lang w:val="es-ES" w:eastAsia="es-ES"/>
        </w:rPr>
        <w:t xml:space="preserve">Téngase por recibida la solicitud de información, en fecha 2 de marzo de 2021, a nombre del señor </w:t>
      </w:r>
      <w:r>
        <w:rPr>
          <w:rFonts w:ascii="Book Antiqua" w:hAnsi="Book Antiqua"/>
          <w:lang w:val="es-ES" w:eastAsia="es-ES"/>
        </w:rPr>
        <w:t>***</w:t>
      </w:r>
      <w:r w:rsidRPr="00B16D19">
        <w:rPr>
          <w:rFonts w:ascii="Book Antiqua" w:hAnsi="Book Antiqua"/>
          <w:lang w:val="es-ES" w:eastAsia="es-ES"/>
        </w:rPr>
        <w:t xml:space="preserve">, registrada por esta Unidad bajo el correlativo </w:t>
      </w:r>
      <w:r w:rsidRPr="00B16D19">
        <w:rPr>
          <w:rFonts w:ascii="Book Antiqua" w:hAnsi="Book Antiqua"/>
          <w:b/>
          <w:lang w:val="es-ES" w:eastAsia="es-ES"/>
        </w:rPr>
        <w:t>MIGOBDT-2021-0026</w:t>
      </w:r>
      <w:r w:rsidRPr="00B16D19">
        <w:rPr>
          <w:rFonts w:ascii="Book Antiqua" w:hAnsi="Book Antiqua"/>
          <w:shd w:val="clear" w:color="auto" w:fill="FFFFFF"/>
        </w:rPr>
        <w:t xml:space="preserve"> en la cual solicita: </w:t>
      </w:r>
      <w:r w:rsidRPr="00B16D19">
        <w:rPr>
          <w:rFonts w:ascii="Book Antiqua" w:hAnsi="Book Antiqua"/>
          <w:lang w:val="es-ES" w:eastAsia="es-ES"/>
        </w:rPr>
        <w:t>“</w:t>
      </w:r>
      <w:r w:rsidRPr="00B16D19">
        <w:rPr>
          <w:rFonts w:ascii="Book Antiqua" w:hAnsi="Book Antiqua"/>
          <w:color w:val="000000"/>
        </w:rPr>
        <w:t xml:space="preserve">1. Listado de todas las asociaciones y fundaciones nacionales y extranjeras aprobadas por el Ministerio de Gobernación y Desarrollo Territorial desde el año 2010 a la fecha. 2. Nombre del notario ante quien se otorgó el instrumento. 3. Dirección y número de teléfono de casa matriz de la asociación y fundación. 4. Nombre del representante legal y el cargo nominal que ostenta en la asociación y fundación. 5. Dirección de email para notificaciones que hayan proporcionado en cualquier escrito o documentación presentada en nombre de la asociación o fundación.” </w:t>
      </w:r>
      <w:r w:rsidRPr="00B16D19">
        <w:rPr>
          <w:rFonts w:ascii="Book Antiqua" w:hAnsi="Book Antiqua"/>
          <w:b/>
          <w:shd w:val="clear" w:color="auto" w:fill="FFFFFF"/>
        </w:rPr>
        <w:t xml:space="preserve">II. </w:t>
      </w:r>
      <w:r w:rsidRPr="00B16D19">
        <w:rPr>
          <w:rFonts w:ascii="Book Antiqua" w:hAnsi="Book Antiqua"/>
          <w:shd w:val="clear" w:color="auto" w:fill="FFFFFF"/>
        </w:rPr>
        <w:t xml:space="preserve"> Que en fecha 5 de marzo del presente año, se le realizaron observaciones a su solicitud de conformidad a los Arts. 54 del Reglamento de la Ley de Acceso a la Información Pública, 71 números 6 y 74 inciso 1 ° de la Ley de Procedimientos Administrativos.  Las cuales el usuario a la fecha no ha subsanado, por lo que su solicitud carece del cumplimiento de requisitos formales. </w:t>
      </w:r>
      <w:r w:rsidRPr="00B16D19">
        <w:rPr>
          <w:rFonts w:ascii="Book Antiqua" w:hAnsi="Book Antiqua"/>
          <w:b/>
          <w:lang w:eastAsia="es-ES"/>
        </w:rPr>
        <w:t>POR TANTO</w:t>
      </w:r>
      <w:r w:rsidRPr="00B16D19">
        <w:rPr>
          <w:rFonts w:ascii="Book Antiqua" w:hAnsi="Book Antiqua"/>
          <w:lang w:eastAsia="es-ES"/>
        </w:rPr>
        <w:t xml:space="preserve">, </w:t>
      </w:r>
      <w:r w:rsidRPr="00B16D19">
        <w:rPr>
          <w:rFonts w:ascii="Book Antiqua" w:hAnsi="Book Antiqua"/>
          <w:lang w:val="es-ES" w:eastAsia="es-ES"/>
        </w:rPr>
        <w:t xml:space="preserve">conforme a la citada normativa, los Arts. 6, 86 Inciso 3° de la Constitución, Art. 66  inc. 5° de la Ley de Acceso a la Información Pública, advirtiendo sobre el derecho a recurrir que tiene la solicitante, está la suscrita Oficial de Información, </w:t>
      </w:r>
      <w:r w:rsidRPr="00B16D19">
        <w:rPr>
          <w:rFonts w:ascii="Book Antiqua" w:hAnsi="Book Antiqua"/>
          <w:b/>
          <w:lang w:val="es-ES" w:eastAsia="es-ES"/>
        </w:rPr>
        <w:t>RESUELVE:</w:t>
      </w:r>
      <w:r w:rsidRPr="00B16D19">
        <w:rPr>
          <w:rFonts w:ascii="Book Antiqua" w:hAnsi="Book Antiqua"/>
          <w:b/>
        </w:rPr>
        <w:t xml:space="preserve"> Declarar inadmisible  la solicitud. </w:t>
      </w:r>
      <w:r w:rsidRPr="00B16D19">
        <w:rPr>
          <w:rFonts w:ascii="Book Antiqua" w:hAnsi="Book Antiqua"/>
          <w:b/>
          <w:lang w:val="es-ES" w:eastAsia="es-ES"/>
        </w:rPr>
        <w:t xml:space="preserve">NOTIFÍQUESE.- </w:t>
      </w:r>
    </w:p>
    <w:p w:rsidR="0011412C" w:rsidRPr="00B16D19" w:rsidRDefault="0011412C" w:rsidP="0011412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</w:rPr>
      </w:pPr>
    </w:p>
    <w:p w:rsidR="0011412C" w:rsidRPr="00B16D19" w:rsidRDefault="0011412C" w:rsidP="0011412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</w:rPr>
      </w:pPr>
    </w:p>
    <w:p w:rsidR="0011412C" w:rsidRPr="00B16D19" w:rsidRDefault="0011412C" w:rsidP="0011412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</w:rPr>
      </w:pPr>
    </w:p>
    <w:p w:rsidR="0011412C" w:rsidRPr="00B16D19" w:rsidRDefault="0011412C" w:rsidP="0011412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</w:rPr>
      </w:pPr>
    </w:p>
    <w:p w:rsidR="0011412C" w:rsidRPr="00B16D19" w:rsidRDefault="0011412C" w:rsidP="0011412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</w:rPr>
      </w:pPr>
    </w:p>
    <w:p w:rsidR="0011412C" w:rsidRPr="00B16D19" w:rsidRDefault="0011412C" w:rsidP="0011412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 w:rsidRPr="00B16D19">
        <w:rPr>
          <w:rFonts w:ascii="Book Antiqua" w:hAnsi="Book Antiqua"/>
          <w:b/>
        </w:rPr>
        <w:t>Jenni Vanessa Quintanilla García</w:t>
      </w:r>
    </w:p>
    <w:p w:rsidR="0011412C" w:rsidRPr="00B16D19" w:rsidRDefault="0011412C" w:rsidP="0011412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 w:rsidRPr="00B16D19">
        <w:rPr>
          <w:rFonts w:ascii="Book Antiqua" w:hAnsi="Book Antiqua"/>
          <w:b/>
        </w:rPr>
        <w:t xml:space="preserve">Oficial de Información Ad- honorem  </w:t>
      </w:r>
    </w:p>
    <w:p w:rsidR="0011412C" w:rsidRDefault="0011412C" w:rsidP="0011412C"/>
    <w:p w:rsidR="0011412C" w:rsidRPr="0022486B" w:rsidRDefault="0011412C" w:rsidP="0011412C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DD3B70" w:rsidRDefault="0011412C">
      <w:bookmarkStart w:id="0" w:name="_GoBack"/>
      <w:bookmarkEnd w:id="0"/>
    </w:p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12C"/>
    <w:rsid w:val="0011412C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1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4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1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4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2021-05-24T14:24:00Z</dcterms:created>
  <dcterms:modified xsi:type="dcterms:W3CDTF">2021-05-24T14:24:00Z</dcterms:modified>
</cp:coreProperties>
</file>