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2F" w:rsidRPr="00152E88" w:rsidRDefault="00E4032F" w:rsidP="00E4032F">
      <w:pPr>
        <w:rPr>
          <w:rFonts w:ascii="Book Antiqua" w:hAnsi="Book Antiqua"/>
          <w:sz w:val="24"/>
          <w:szCs w:val="24"/>
        </w:rPr>
      </w:pPr>
      <w:r w:rsidRPr="00152E88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472466C1" wp14:editId="5A86D3E0">
            <wp:simplePos x="0" y="0"/>
            <wp:positionH relativeFrom="column">
              <wp:posOffset>1626675</wp:posOffset>
            </wp:positionH>
            <wp:positionV relativeFrom="paragraph">
              <wp:posOffset>-483235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2F" w:rsidRPr="00152E88" w:rsidRDefault="00E4032F" w:rsidP="00E4032F">
      <w:pPr>
        <w:jc w:val="center"/>
        <w:rPr>
          <w:rFonts w:ascii="Book Antiqua" w:hAnsi="Book Antiqua"/>
          <w:sz w:val="24"/>
          <w:szCs w:val="24"/>
        </w:rPr>
      </w:pPr>
    </w:p>
    <w:p w:rsidR="00E4032F" w:rsidRPr="00152E88" w:rsidRDefault="00E4032F" w:rsidP="00E4032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</w:p>
    <w:p w:rsidR="00E4032F" w:rsidRPr="00152E88" w:rsidRDefault="00E4032F" w:rsidP="00E4032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  <w:r w:rsidRPr="00152E88">
        <w:rPr>
          <w:rFonts w:ascii="Book Antiqua" w:hAnsi="Book Antiqua"/>
          <w:b/>
        </w:rPr>
        <w:t xml:space="preserve">RESOLUCIÓN NO. </w:t>
      </w:r>
      <w:r>
        <w:rPr>
          <w:rFonts w:ascii="Book Antiqua" w:hAnsi="Book Antiqua"/>
          <w:b/>
        </w:rPr>
        <w:t>12</w:t>
      </w:r>
      <w:r w:rsidRPr="00152E88">
        <w:rPr>
          <w:rFonts w:ascii="Book Antiqua" w:hAnsi="Book Antiqua"/>
          <w:b/>
        </w:rPr>
        <w:t>/202</w:t>
      </w:r>
      <w:r>
        <w:rPr>
          <w:rFonts w:ascii="Book Antiqua" w:hAnsi="Book Antiqua"/>
          <w:b/>
        </w:rPr>
        <w:t>1</w:t>
      </w:r>
    </w:p>
    <w:p w:rsidR="00E4032F" w:rsidRPr="004D4D68" w:rsidRDefault="00E4032F" w:rsidP="00E4032F">
      <w:pPr>
        <w:jc w:val="both"/>
        <w:rPr>
          <w:rFonts w:ascii="Book Antiqua" w:hAnsi="Book Antiqua"/>
          <w:sz w:val="20"/>
          <w:szCs w:val="20"/>
          <w:shd w:val="clear" w:color="auto" w:fill="FFFFFF"/>
        </w:rPr>
      </w:pPr>
      <w:r w:rsidRPr="00E159F5">
        <w:rPr>
          <w:rFonts w:ascii="Book Antiqua" w:hAnsi="Book Antiqua"/>
          <w:sz w:val="20"/>
          <w:szCs w:val="20"/>
          <w:lang w:val="es-ES" w:eastAsia="es-ES"/>
        </w:rPr>
        <w:t xml:space="preserve">En </w:t>
      </w:r>
      <w:r w:rsidRPr="00E159F5">
        <w:rPr>
          <w:rFonts w:ascii="Book Antiqua" w:hAnsi="Book Antiqua"/>
          <w:sz w:val="20"/>
          <w:szCs w:val="20"/>
        </w:rPr>
        <w:t>la Unidad de Acceso a la Información Pública del Ministerio de Gobernación y Desarrollo T</w:t>
      </w:r>
      <w:r>
        <w:rPr>
          <w:rFonts w:ascii="Book Antiqua" w:hAnsi="Book Antiqua"/>
          <w:sz w:val="20"/>
          <w:szCs w:val="20"/>
        </w:rPr>
        <w:t xml:space="preserve">erritorial: San Salvador, a las diez </w:t>
      </w:r>
      <w:r w:rsidRPr="00E159F5">
        <w:rPr>
          <w:rFonts w:ascii="Book Antiqua" w:hAnsi="Book Antiqua"/>
          <w:sz w:val="20"/>
          <w:szCs w:val="20"/>
        </w:rPr>
        <w:t xml:space="preserve">horas y treinta minutos del día </w:t>
      </w:r>
      <w:r>
        <w:rPr>
          <w:rFonts w:ascii="Book Antiqua" w:hAnsi="Book Antiqua"/>
          <w:sz w:val="20"/>
          <w:szCs w:val="20"/>
        </w:rPr>
        <w:t xml:space="preserve">dos </w:t>
      </w:r>
      <w:r w:rsidRPr="00E159F5">
        <w:rPr>
          <w:rFonts w:ascii="Book Antiqua" w:hAnsi="Book Antiqua"/>
          <w:sz w:val="20"/>
          <w:szCs w:val="20"/>
        </w:rPr>
        <w:t>de</w:t>
      </w:r>
      <w:r>
        <w:rPr>
          <w:rFonts w:ascii="Book Antiqua" w:hAnsi="Book Antiqua"/>
          <w:sz w:val="20"/>
          <w:szCs w:val="20"/>
        </w:rPr>
        <w:t xml:space="preserve"> marzo</w:t>
      </w:r>
      <w:r w:rsidRPr="00E159F5">
        <w:rPr>
          <w:rFonts w:ascii="Book Antiqua" w:hAnsi="Book Antiqua"/>
          <w:sz w:val="20"/>
          <w:szCs w:val="20"/>
        </w:rPr>
        <w:t xml:space="preserve"> de dos mil </w:t>
      </w:r>
      <w:r>
        <w:rPr>
          <w:rFonts w:ascii="Book Antiqua" w:hAnsi="Book Antiqua"/>
          <w:sz w:val="20"/>
          <w:szCs w:val="20"/>
        </w:rPr>
        <w:t xml:space="preserve">veintiuno. </w:t>
      </w:r>
      <w:r w:rsidRPr="00E159F5">
        <w:rPr>
          <w:rFonts w:ascii="Book Antiqua" w:hAnsi="Book Antiqua"/>
          <w:b/>
          <w:sz w:val="20"/>
          <w:szCs w:val="20"/>
        </w:rPr>
        <w:t xml:space="preserve">CONSIDERANDO </w:t>
      </w:r>
      <w:r w:rsidRPr="00E159F5">
        <w:rPr>
          <w:rFonts w:ascii="Book Antiqua" w:hAnsi="Book Antiqua"/>
          <w:sz w:val="20"/>
          <w:szCs w:val="20"/>
        </w:rPr>
        <w:t>que</w:t>
      </w:r>
      <w:r w:rsidRPr="00E159F5">
        <w:rPr>
          <w:rFonts w:ascii="Book Antiqua" w:hAnsi="Book Antiqua"/>
          <w:b/>
          <w:sz w:val="20"/>
          <w:szCs w:val="20"/>
        </w:rPr>
        <w:t xml:space="preserve">: I. </w:t>
      </w:r>
      <w:r w:rsidRPr="00E159F5">
        <w:rPr>
          <w:rFonts w:ascii="Book Antiqua" w:hAnsi="Book Antiqua"/>
          <w:sz w:val="20"/>
          <w:szCs w:val="20"/>
        </w:rPr>
        <w:t xml:space="preserve">En fecha </w:t>
      </w:r>
      <w:r>
        <w:rPr>
          <w:rFonts w:ascii="Book Antiqua" w:hAnsi="Book Antiqua"/>
          <w:sz w:val="20"/>
          <w:szCs w:val="20"/>
        </w:rPr>
        <w:t xml:space="preserve">26 de febrero </w:t>
      </w:r>
      <w:r w:rsidRPr="00E159F5">
        <w:rPr>
          <w:rFonts w:ascii="Book Antiqua" w:hAnsi="Book Antiqua"/>
          <w:sz w:val="20"/>
          <w:szCs w:val="20"/>
        </w:rPr>
        <w:t>de 202</w:t>
      </w:r>
      <w:r>
        <w:rPr>
          <w:rFonts w:ascii="Book Antiqua" w:hAnsi="Book Antiqua"/>
          <w:sz w:val="20"/>
          <w:szCs w:val="20"/>
        </w:rPr>
        <w:t xml:space="preserve">1, </w:t>
      </w:r>
      <w:r w:rsidRPr="00E159F5">
        <w:rPr>
          <w:rFonts w:ascii="Book Antiqua" w:hAnsi="Book Antiqua"/>
          <w:sz w:val="20"/>
          <w:szCs w:val="20"/>
        </w:rPr>
        <w:t xml:space="preserve"> se recibió por medio de correo electrónico, solic</w:t>
      </w:r>
      <w:r>
        <w:rPr>
          <w:rFonts w:ascii="Book Antiqua" w:hAnsi="Book Antiqua"/>
          <w:sz w:val="20"/>
          <w:szCs w:val="20"/>
        </w:rPr>
        <w:t xml:space="preserve">itud de información a nombre de </w:t>
      </w:r>
      <w:r>
        <w:rPr>
          <w:rFonts w:ascii="Book Antiqua" w:hAnsi="Book Antiqua"/>
          <w:sz w:val="20"/>
          <w:szCs w:val="20"/>
        </w:rPr>
        <w:t>///////</w:t>
      </w:r>
      <w:bookmarkStart w:id="0" w:name="_GoBack"/>
      <w:bookmarkEnd w:id="0"/>
      <w:r w:rsidRPr="00E159F5">
        <w:rPr>
          <w:rFonts w:ascii="Book Antiqua" w:hAnsi="Book Antiqua"/>
          <w:sz w:val="20"/>
          <w:szCs w:val="20"/>
        </w:rPr>
        <w:t xml:space="preserve"> </w:t>
      </w:r>
      <w:r w:rsidRPr="00E159F5">
        <w:rPr>
          <w:rFonts w:ascii="Book Antiqua" w:hAnsi="Book Antiqua"/>
          <w:sz w:val="20"/>
          <w:szCs w:val="20"/>
          <w:lang w:val="es-ES" w:eastAsia="es-ES"/>
        </w:rPr>
        <w:t xml:space="preserve">registrada por esta Unidad bajo el correlativo </w:t>
      </w:r>
      <w:r w:rsidRPr="00E159F5">
        <w:rPr>
          <w:rFonts w:ascii="Book Antiqua" w:hAnsi="Book Antiqua"/>
          <w:b/>
          <w:sz w:val="20"/>
          <w:szCs w:val="20"/>
          <w:lang w:val="es-ES" w:eastAsia="es-ES"/>
        </w:rPr>
        <w:t>MIGOBDT-</w:t>
      </w:r>
      <w:r>
        <w:rPr>
          <w:rFonts w:ascii="Book Antiqua" w:hAnsi="Book Antiqua"/>
          <w:b/>
          <w:sz w:val="20"/>
          <w:szCs w:val="20"/>
          <w:lang w:val="es-ES" w:eastAsia="es-ES"/>
        </w:rPr>
        <w:t>2021-0024</w:t>
      </w:r>
      <w:r w:rsidRPr="00E159F5">
        <w:rPr>
          <w:rFonts w:ascii="Book Antiqua" w:hAnsi="Book Antiqua"/>
          <w:sz w:val="20"/>
          <w:szCs w:val="20"/>
          <w:shd w:val="clear" w:color="auto" w:fill="FFFFFF"/>
        </w:rPr>
        <w:t xml:space="preserve"> en la que ese</w:t>
      </w:r>
      <w:r>
        <w:rPr>
          <w:rFonts w:ascii="Book Antiqua" w:hAnsi="Book Antiqua"/>
          <w:sz w:val="20"/>
          <w:szCs w:val="20"/>
          <w:shd w:val="clear" w:color="auto" w:fill="FFFFFF"/>
        </w:rPr>
        <w:t xml:space="preserve">ncial y textualmente requiere: 1. Documento de diseño conceptual. 2. El manual de operaciones del proyecto de entrega de paquetes alimentarios a la población vulnerable durante la pandemia de COVID-19, específicamente en el periodo de tiempo de marzo de 2020 a agosto del 2020.  </w:t>
      </w:r>
      <w:r w:rsidRPr="00E159F5">
        <w:rPr>
          <w:rFonts w:ascii="Book Antiqua" w:hAnsi="Book Antiqua"/>
          <w:sz w:val="20"/>
          <w:szCs w:val="20"/>
          <w:shd w:val="clear" w:color="auto" w:fill="FFFFFF"/>
        </w:rPr>
        <w:t xml:space="preserve"> </w:t>
      </w:r>
      <w:r w:rsidRPr="00E159F5">
        <w:rPr>
          <w:rFonts w:ascii="Book Antiqua" w:hAnsi="Book Antiqua"/>
          <w:b/>
          <w:sz w:val="20"/>
          <w:szCs w:val="20"/>
          <w:shd w:val="clear" w:color="auto" w:fill="FFFFFF"/>
        </w:rPr>
        <w:t xml:space="preserve">II. </w:t>
      </w:r>
      <w:r w:rsidRPr="00E159F5">
        <w:rPr>
          <w:rFonts w:ascii="Book Antiqua" w:hAnsi="Book Antiqua"/>
          <w:color w:val="000000"/>
          <w:sz w:val="20"/>
          <w:szCs w:val="20"/>
        </w:rPr>
        <w:t xml:space="preserve">Que la referida solicitud cumple con los requisitos establecidos en el Art. 66 de la Ley de Acceso a la Información Pública, no obstante, se advierte que la información no es generada por esta Cartera de Estado. </w:t>
      </w:r>
      <w:r w:rsidRPr="00E159F5">
        <w:rPr>
          <w:rFonts w:ascii="Book Antiqua" w:hAnsi="Book Antiqua"/>
          <w:b/>
          <w:color w:val="000000"/>
          <w:sz w:val="20"/>
          <w:szCs w:val="20"/>
        </w:rPr>
        <w:t>III.</w:t>
      </w:r>
      <w:r w:rsidRPr="00E159F5">
        <w:rPr>
          <w:rFonts w:ascii="Book Antiqua" w:hAnsi="Book Antiqua"/>
          <w:color w:val="000000"/>
          <w:sz w:val="20"/>
          <w:szCs w:val="20"/>
        </w:rPr>
        <w:t xml:space="preserve"> Que el </w:t>
      </w:r>
      <w:r w:rsidRPr="00E159F5">
        <w:rPr>
          <w:rFonts w:ascii="Book Antiqua" w:hAnsi="Book Antiqua" w:cs="Helvetica"/>
          <w:sz w:val="20"/>
          <w:szCs w:val="20"/>
          <w:shd w:val="clear" w:color="auto" w:fill="FFFFFF"/>
        </w:rPr>
        <w:t>Art. 68 de la LAIP inciso segundo establece: “</w:t>
      </w:r>
      <w:r w:rsidRPr="00E159F5">
        <w:rPr>
          <w:rFonts w:ascii="Book Antiqua" w:hAnsi="Book Antiqua" w:cs="Helvetica"/>
          <w:i/>
          <w:sz w:val="20"/>
          <w:szCs w:val="20"/>
          <w:shd w:val="clear" w:color="auto" w:fill="FFFFFF"/>
        </w:rPr>
        <w:t xml:space="preserve">Cuando una solicitud de información sea dirigida a un ente obligado distinto del competente, éste deberá informar al interesado la entidad a la que debe dirigirse”, </w:t>
      </w:r>
      <w:r w:rsidRPr="00E159F5">
        <w:rPr>
          <w:rFonts w:ascii="Book Antiqua" w:hAnsi="Book Antiqua" w:cs="Helvetica"/>
          <w:sz w:val="20"/>
          <w:szCs w:val="20"/>
          <w:shd w:val="clear" w:color="auto" w:fill="FFFFFF"/>
        </w:rPr>
        <w:t xml:space="preserve">asimismo, el Art. 49 del Reglamento de la LAIP, expresa que: “Las Unidades de Acceso a la Información Pública que reciban una solicitud de acceso a la información que no corresponda a su respectiva institución, deberán auxiliar u orientar a los particulares (…) sobre la  Unidad de Acceso a la Información Pública que pudiese poseerla (…)”,  que en ese sentido, </w:t>
      </w:r>
      <w:r w:rsidRPr="00E159F5">
        <w:rPr>
          <w:rFonts w:ascii="Book Antiqua" w:hAnsi="Book Antiqua"/>
          <w:color w:val="000000"/>
          <w:sz w:val="20"/>
          <w:szCs w:val="20"/>
        </w:rPr>
        <w:t>se presume que los entes que podrían poseer la información solicitada son Ministerio de Agricultura y Ganadería</w:t>
      </w:r>
      <w:r>
        <w:rPr>
          <w:rFonts w:ascii="Book Antiqua" w:hAnsi="Book Antiqua"/>
          <w:color w:val="000000"/>
          <w:sz w:val="20"/>
          <w:szCs w:val="20"/>
        </w:rPr>
        <w:t xml:space="preserve"> y Presidencia de la República. </w:t>
      </w:r>
      <w:r w:rsidRPr="00E159F5">
        <w:rPr>
          <w:rFonts w:ascii="Book Antiqua" w:hAnsi="Book Antiqua"/>
          <w:b/>
          <w:sz w:val="20"/>
          <w:szCs w:val="20"/>
          <w:lang w:eastAsia="es-ES"/>
        </w:rPr>
        <w:t>POR TANTO</w:t>
      </w:r>
      <w:r w:rsidRPr="00E159F5">
        <w:rPr>
          <w:rFonts w:ascii="Book Antiqua" w:hAnsi="Book Antiqua"/>
          <w:sz w:val="20"/>
          <w:szCs w:val="20"/>
          <w:lang w:eastAsia="es-ES"/>
        </w:rPr>
        <w:t xml:space="preserve">, </w:t>
      </w:r>
      <w:r w:rsidRPr="00E159F5">
        <w:rPr>
          <w:rFonts w:ascii="Book Antiqua" w:hAnsi="Book Antiqua"/>
          <w:sz w:val="20"/>
          <w:szCs w:val="20"/>
          <w:lang w:val="es-ES" w:eastAsia="es-ES"/>
        </w:rPr>
        <w:t>conforme a los Arts. 86 Inciso 3° de la Constitución y 2, 7, 9, 50, 62, 66 y 68</w:t>
      </w:r>
      <w:r>
        <w:rPr>
          <w:rFonts w:ascii="Book Antiqua" w:hAnsi="Book Antiqua"/>
          <w:sz w:val="20"/>
          <w:szCs w:val="20"/>
          <w:lang w:val="es-ES" w:eastAsia="es-ES"/>
        </w:rPr>
        <w:t xml:space="preserve"> de la LAIP, </w:t>
      </w:r>
      <w:r w:rsidRPr="00E159F5">
        <w:rPr>
          <w:rFonts w:ascii="Book Antiqua" w:hAnsi="Book Antiqua"/>
          <w:sz w:val="20"/>
          <w:szCs w:val="20"/>
          <w:lang w:val="es-ES" w:eastAsia="es-ES"/>
        </w:rPr>
        <w:t xml:space="preserve">esta Unidad de Acceso a la Información Pública, </w:t>
      </w:r>
      <w:r w:rsidRPr="00E159F5">
        <w:rPr>
          <w:rFonts w:ascii="Book Antiqua" w:hAnsi="Book Antiqua"/>
          <w:b/>
          <w:sz w:val="20"/>
          <w:szCs w:val="20"/>
          <w:lang w:val="es-ES" w:eastAsia="es-ES"/>
        </w:rPr>
        <w:t>RESUELVE:</w:t>
      </w:r>
      <w:r w:rsidRPr="00E159F5">
        <w:rPr>
          <w:rFonts w:ascii="Book Antiqua" w:hAnsi="Book Antiqua"/>
          <w:sz w:val="20"/>
          <w:szCs w:val="20"/>
          <w:lang w:val="es-ES" w:eastAsia="es-ES"/>
        </w:rPr>
        <w:t xml:space="preserve"> 1) Declarar la inadmisible la solicitud. 2) Orientar al solicitante  que dirija su solicitud ante las Unidades de Acceso a la Información Pública de las referidas Carteras de Estado. 3) Queda expedito el derecho a recurrir del solicitante. </w:t>
      </w:r>
      <w:r w:rsidRPr="00E159F5">
        <w:rPr>
          <w:rFonts w:ascii="Book Antiqua" w:hAnsi="Book Antiqua"/>
          <w:b/>
          <w:sz w:val="20"/>
          <w:szCs w:val="20"/>
          <w:lang w:val="es-ES" w:eastAsia="es-ES"/>
        </w:rPr>
        <w:t xml:space="preserve">NOTIFIQUESE.- </w:t>
      </w:r>
    </w:p>
    <w:p w:rsidR="00E4032F" w:rsidRPr="00E159F5" w:rsidRDefault="00E4032F" w:rsidP="00E4032F">
      <w:pPr>
        <w:jc w:val="both"/>
        <w:rPr>
          <w:rFonts w:ascii="Book Antiqua" w:hAnsi="Book Antiqua"/>
          <w:b/>
          <w:sz w:val="20"/>
          <w:szCs w:val="20"/>
          <w:lang w:val="es-ES" w:eastAsia="es-ES"/>
        </w:rPr>
      </w:pPr>
    </w:p>
    <w:p w:rsidR="00E4032F" w:rsidRPr="00E159F5" w:rsidRDefault="00E4032F" w:rsidP="00E4032F">
      <w:pPr>
        <w:jc w:val="both"/>
        <w:rPr>
          <w:rFonts w:ascii="Book Antiqua" w:hAnsi="Book Antiqua"/>
          <w:color w:val="000000"/>
          <w:sz w:val="20"/>
          <w:szCs w:val="20"/>
        </w:rPr>
      </w:pPr>
    </w:p>
    <w:p w:rsidR="00E4032F" w:rsidRPr="00E159F5" w:rsidRDefault="00E4032F" w:rsidP="00E4032F">
      <w:pPr>
        <w:spacing w:after="0"/>
        <w:jc w:val="center"/>
        <w:rPr>
          <w:rFonts w:ascii="Book Antiqua" w:hAnsi="Book Antiqua" w:cs="Helvetica"/>
          <w:b/>
          <w:sz w:val="20"/>
          <w:szCs w:val="20"/>
          <w:shd w:val="clear" w:color="auto" w:fill="FFFFFF"/>
        </w:rPr>
      </w:pPr>
      <w:r w:rsidRPr="00E159F5">
        <w:rPr>
          <w:rFonts w:ascii="Book Antiqua" w:hAnsi="Book Antiqua" w:cs="Helvetica"/>
          <w:b/>
          <w:sz w:val="20"/>
          <w:szCs w:val="20"/>
          <w:shd w:val="clear" w:color="auto" w:fill="FFFFFF"/>
        </w:rPr>
        <w:t>JENNI VANESSA QUINTANILLA GARCÍA</w:t>
      </w:r>
    </w:p>
    <w:p w:rsidR="00E4032F" w:rsidRPr="00E159F5" w:rsidRDefault="00E4032F" w:rsidP="00E4032F">
      <w:pPr>
        <w:spacing w:after="0"/>
        <w:jc w:val="center"/>
        <w:rPr>
          <w:rFonts w:ascii="Book Antiqua" w:hAnsi="Book Antiqua" w:cs="Helvetica"/>
          <w:b/>
          <w:sz w:val="20"/>
          <w:szCs w:val="20"/>
          <w:shd w:val="clear" w:color="auto" w:fill="FFFFFF"/>
        </w:rPr>
      </w:pPr>
      <w:r w:rsidRPr="00E159F5">
        <w:rPr>
          <w:rFonts w:ascii="Book Antiqua" w:hAnsi="Book Antiqua" w:cs="Helvetica"/>
          <w:b/>
          <w:sz w:val="20"/>
          <w:szCs w:val="20"/>
          <w:shd w:val="clear" w:color="auto" w:fill="FFFFFF"/>
        </w:rPr>
        <w:t>OFICIAL DE INFORMACIÓN AD-HONOREM</w:t>
      </w:r>
    </w:p>
    <w:p w:rsidR="00E4032F" w:rsidRDefault="00E4032F" w:rsidP="00E4032F"/>
    <w:p w:rsidR="00E4032F" w:rsidRPr="00E4032F" w:rsidRDefault="00E4032F" w:rsidP="00E4032F">
      <w:pPr>
        <w:spacing w:after="0"/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  <w:r w:rsidRPr="00E4032F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E4032F" w:rsidRPr="00E4032F" w:rsidRDefault="00E4032F" w:rsidP="00E4032F">
      <w:pPr>
        <w:rPr>
          <w:color w:val="FF0000"/>
        </w:rPr>
      </w:pPr>
    </w:p>
    <w:p w:rsidR="00DD3B70" w:rsidRDefault="00E4032F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2F"/>
    <w:rsid w:val="00876156"/>
    <w:rsid w:val="00E37341"/>
    <w:rsid w:val="00E4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2021-05-12T20:03:00Z</dcterms:created>
  <dcterms:modified xsi:type="dcterms:W3CDTF">2021-05-12T20:04:00Z</dcterms:modified>
</cp:coreProperties>
</file>