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2D" w:rsidRDefault="00EF152D" w:rsidP="00EF152D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E443393" wp14:editId="197B85FE">
            <wp:simplePos x="0" y="0"/>
            <wp:positionH relativeFrom="column">
              <wp:posOffset>1593850</wp:posOffset>
            </wp:positionH>
            <wp:positionV relativeFrom="paragraph">
              <wp:posOffset>92710</wp:posOffset>
            </wp:positionV>
            <wp:extent cx="2615565" cy="11296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52D" w:rsidRDefault="00EF152D" w:rsidP="00EF152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F152D" w:rsidRDefault="00EF152D" w:rsidP="00EF152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F152D" w:rsidRDefault="00EF152D" w:rsidP="00EF152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F152D" w:rsidRDefault="00EF152D" w:rsidP="00EF152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F152D" w:rsidRDefault="00EF152D" w:rsidP="00EF152D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F152D" w:rsidRDefault="00EF152D" w:rsidP="00EF152D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EF152D" w:rsidRDefault="00EF152D" w:rsidP="00EF152D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EF152D" w:rsidRDefault="00EF152D" w:rsidP="00EF152D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EF152D" w:rsidRDefault="00EF152D" w:rsidP="00EF152D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RESOLUCIÓN NO. 6/2021</w:t>
      </w:r>
    </w:p>
    <w:p w:rsidR="00EF152D" w:rsidRPr="00F73A08" w:rsidRDefault="00EF152D" w:rsidP="00EF152D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 siete horas y treinta minutos del día 2 de febrero de 2021. </w:t>
      </w:r>
      <w:r>
        <w:rPr>
          <w:rFonts w:ascii="Book Antiqua" w:hAnsi="Book Antiqua"/>
          <w:b/>
        </w:rPr>
        <w:t xml:space="preserve">CONSIDERANDO: I) </w:t>
      </w:r>
      <w:r>
        <w:rPr>
          <w:rFonts w:ascii="Book Antiqua" w:hAnsi="Book Antiqua"/>
        </w:rPr>
        <w:t xml:space="preserve"> se ha recibido en fecha 6 de enero del presente año, por medio de correo electrónico, solicitud de información a nombre de la señora: </w:t>
      </w:r>
      <w:r>
        <w:rPr>
          <w:rFonts w:ascii="Book Antiqua" w:hAnsi="Book Antiqua"/>
        </w:rPr>
        <w:t>//////</w:t>
      </w:r>
      <w:r>
        <w:rPr>
          <w:rFonts w:ascii="Book Antiqua" w:hAnsi="Book Antiqua"/>
        </w:rPr>
        <w:t>, a la que se le asignó el número de seguimiento MIGOBDT-2021-0004, en la cual solicita: “</w:t>
      </w:r>
      <w:r w:rsidRPr="00C055F5">
        <w:rPr>
          <w:rFonts w:ascii="Book Antiqua" w:hAnsi="Book Antiqua"/>
          <w:sz w:val="20"/>
          <w:szCs w:val="20"/>
        </w:rPr>
        <w:t xml:space="preserve">Dirección general del registro de asociaciones y fundaciones sin fines de lucro: </w:t>
      </w:r>
      <w:r w:rsidRPr="00C055F5">
        <w:rPr>
          <w:rFonts w:ascii="MS Mincho" w:eastAsia="MS Mincho" w:hAnsi="MS Mincho" w:cs="MS Mincho" w:hint="eastAsia"/>
          <w:sz w:val="20"/>
          <w:szCs w:val="20"/>
        </w:rPr>
        <w:t>✓</w:t>
      </w:r>
      <w:r w:rsidRPr="00C055F5">
        <w:rPr>
          <w:rFonts w:ascii="Book Antiqua" w:hAnsi="Book Antiqua"/>
          <w:sz w:val="20"/>
          <w:szCs w:val="20"/>
        </w:rPr>
        <w:t xml:space="preserve"> Base de datos de registro de asociaciones y fundaciones vigentes al 31 de diciembre de 2020. • Dirección general de espectáculos públicos, radio y televisión: </w:t>
      </w:r>
      <w:r w:rsidRPr="00C055F5">
        <w:rPr>
          <w:rFonts w:ascii="MS Mincho" w:eastAsia="MS Mincho" w:hAnsi="MS Mincho" w:cs="MS Mincho" w:hint="eastAsia"/>
          <w:sz w:val="20"/>
          <w:szCs w:val="20"/>
        </w:rPr>
        <w:t>✓</w:t>
      </w:r>
      <w:r w:rsidRPr="00C055F5">
        <w:rPr>
          <w:rFonts w:ascii="Book Antiqua" w:hAnsi="Book Antiqua"/>
          <w:sz w:val="20"/>
          <w:szCs w:val="20"/>
        </w:rPr>
        <w:t xml:space="preserve"> Descripción de la clasificación de contenido de los medios audiovisuales (televisión y cine),espectáculos públicos, radiodifusores, impresos y electrónicos (Internet) </w:t>
      </w:r>
      <w:r w:rsidRPr="00C055F5">
        <w:rPr>
          <w:rFonts w:ascii="MS Mincho" w:eastAsia="MS Mincho" w:hAnsi="MS Mincho" w:cs="MS Mincho" w:hint="eastAsia"/>
          <w:sz w:val="20"/>
          <w:szCs w:val="20"/>
        </w:rPr>
        <w:t>✓</w:t>
      </w:r>
      <w:r w:rsidRPr="00C055F5">
        <w:rPr>
          <w:rFonts w:ascii="Book Antiqua" w:hAnsi="Book Antiqua"/>
          <w:sz w:val="20"/>
          <w:szCs w:val="20"/>
        </w:rPr>
        <w:t xml:space="preserve"> Descripción del proceso para realizar a clasificación de contenido: medios audiovisuales (televisión y cine),espectáculos públicos, radiodifusores, impresos y electrónicos (Internet) </w:t>
      </w:r>
      <w:r w:rsidRPr="00C055F5">
        <w:rPr>
          <w:rFonts w:ascii="MS Mincho" w:eastAsia="MS Mincho" w:hAnsi="MS Mincho" w:cs="MS Mincho" w:hint="eastAsia"/>
          <w:sz w:val="20"/>
          <w:szCs w:val="20"/>
        </w:rPr>
        <w:t>✓</w:t>
      </w:r>
      <w:r w:rsidRPr="00C055F5">
        <w:rPr>
          <w:rFonts w:ascii="Book Antiqua" w:hAnsi="Book Antiqua"/>
          <w:sz w:val="20"/>
          <w:szCs w:val="20"/>
        </w:rPr>
        <w:t xml:space="preserve"> Listado de leyes y normativa base para realizar la clasificación de contenido. </w:t>
      </w:r>
      <w:r w:rsidRPr="00C055F5">
        <w:rPr>
          <w:rFonts w:ascii="MS Mincho" w:eastAsia="MS Mincho" w:hAnsi="MS Mincho" w:cs="MS Mincho" w:hint="eastAsia"/>
          <w:sz w:val="20"/>
          <w:szCs w:val="20"/>
        </w:rPr>
        <w:t>✓</w:t>
      </w:r>
      <w:r w:rsidRPr="00C055F5">
        <w:rPr>
          <w:rFonts w:ascii="Book Antiqua" w:hAnsi="Book Antiqua"/>
          <w:sz w:val="20"/>
          <w:szCs w:val="20"/>
        </w:rPr>
        <w:t xml:space="preserve"> Clasificación del contenido de la parrilla local de </w:t>
      </w:r>
      <w:r w:rsidRPr="00C055F5">
        <w:rPr>
          <w:rFonts w:ascii="MS Mincho" w:eastAsia="MS Mincho" w:hAnsi="MS Mincho" w:cs="MS Mincho" w:hint="eastAsia"/>
          <w:sz w:val="20"/>
          <w:szCs w:val="20"/>
        </w:rPr>
        <w:t>✓</w:t>
      </w:r>
      <w:r w:rsidRPr="00C055F5">
        <w:rPr>
          <w:rFonts w:ascii="Book Antiqua" w:hAnsi="Book Antiqua"/>
          <w:sz w:val="20"/>
          <w:szCs w:val="20"/>
        </w:rPr>
        <w:t xml:space="preserve"> Televisión (por cada canal y al 2020) y radio a nivel nacional. </w:t>
      </w:r>
      <w:r w:rsidRPr="00C055F5">
        <w:rPr>
          <w:rFonts w:ascii="MS Mincho" w:eastAsia="MS Mincho" w:hAnsi="MS Mincho" w:cs="MS Mincho" w:hint="eastAsia"/>
          <w:sz w:val="20"/>
          <w:szCs w:val="20"/>
        </w:rPr>
        <w:t>✓</w:t>
      </w:r>
      <w:r w:rsidRPr="00C055F5">
        <w:rPr>
          <w:rFonts w:ascii="Book Antiqua" w:hAnsi="Book Antiqua"/>
          <w:sz w:val="20"/>
          <w:szCs w:val="20"/>
        </w:rPr>
        <w:t xml:space="preserve"> Descripción del proceso para solución de controversias, respecto a publicidad y sobre la clasificación y transmisión de contenido</w:t>
      </w:r>
      <w:r>
        <w:rPr>
          <w:rFonts w:ascii="Book Antiqua" w:hAnsi="Book Antiqua"/>
          <w:sz w:val="20"/>
          <w:szCs w:val="20"/>
        </w:rPr>
        <w:t xml:space="preserve">” </w:t>
      </w:r>
      <w:r w:rsidRPr="00756EF7">
        <w:rPr>
          <w:rFonts w:ascii="Book Antiqua" w:hAnsi="Book Antiqua"/>
          <w:b/>
          <w:sz w:val="20"/>
          <w:szCs w:val="20"/>
        </w:rPr>
        <w:t>II</w:t>
      </w:r>
      <w:r w:rsidRPr="00756EF7">
        <w:rPr>
          <w:rFonts w:ascii="Book Antiqua" w:eastAsia="Times New Roman" w:hAnsi="Book Antiqua" w:cs="Arial"/>
          <w:b/>
          <w:color w:val="000000"/>
          <w:lang w:eastAsia="es-SV"/>
        </w:rPr>
        <w:t>)</w:t>
      </w:r>
      <w:r>
        <w:rPr>
          <w:rFonts w:ascii="Book Antiqua" w:eastAsia="Times New Roman" w:hAnsi="Book Antiqua" w:cs="Arial"/>
          <w:color w:val="000000"/>
          <w:lang w:eastAsia="es-SV"/>
        </w:rPr>
        <w:t xml:space="preserve"> Siendo admisible su solicitud, se realizaron las diligencias establecidas en el Art. 70 de la Ley de Acceso a la Información Pública (LAIP), remitiendo a las unidades administrativas que la puedan poseer, Dirección del Registro de Asociaciones y Fundaciones Sin Fines de Lucro, y Dirección de Espectáculos Públicos, Radio y Televisión, las cuales entregaron la información. </w:t>
      </w:r>
      <w:r>
        <w:rPr>
          <w:rFonts w:ascii="Book Antiqua" w:hAnsi="Book Antiqua"/>
          <w:b/>
          <w:lang w:val="es-ES" w:eastAsia="es-ES"/>
        </w:rPr>
        <w:t xml:space="preserve">POR TANTO, </w:t>
      </w:r>
      <w:r>
        <w:rPr>
          <w:rFonts w:ascii="Book Antiqua" w:hAnsi="Book Antiqua"/>
          <w:lang w:val="es-ES" w:eastAsia="es-ES"/>
        </w:rPr>
        <w:t>conforme a los Art. 86 Inc. 3° de la Constitución y en base al derecho que le asiste a la solicitante enunciado en los Arts. 2, 7, 9, 50 y 62 de la LAIP, esta Dependencia</w:t>
      </w:r>
      <w:r>
        <w:rPr>
          <w:rFonts w:ascii="Book Antiqua" w:hAnsi="Book Antiqua"/>
          <w:b/>
          <w:lang w:val="es-ES" w:eastAsia="es-ES"/>
        </w:rPr>
        <w:t xml:space="preserve">, RESUELVE: </w:t>
      </w:r>
    </w:p>
    <w:p w:rsidR="00EF152D" w:rsidRDefault="00EF152D" w:rsidP="00EF152D">
      <w:pPr>
        <w:spacing w:line="240" w:lineRule="auto"/>
        <w:jc w:val="center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b/>
          <w:lang w:val="es-ES" w:eastAsia="es-ES"/>
        </w:rPr>
        <w:t xml:space="preserve">CONCEDER EL ACCESO A LA INFORMACIÓN </w:t>
      </w:r>
    </w:p>
    <w:p w:rsidR="00EF152D" w:rsidRPr="00756EF7" w:rsidRDefault="00EF152D" w:rsidP="00EF152D">
      <w:pPr>
        <w:spacing w:line="240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lang w:val="es-ES" w:eastAsia="es-ES"/>
        </w:rPr>
        <w:t xml:space="preserve">Se entrega en archivos anexos a la presente los documentos remitidos por la unidad administrativa, la cual es remitida por correo electrónico al solicitante.  </w:t>
      </w:r>
      <w:r>
        <w:rPr>
          <w:rFonts w:ascii="Book Antiqua" w:hAnsi="Book Antiqua"/>
          <w:b/>
          <w:lang w:val="es-ES" w:eastAsia="es-ES"/>
        </w:rPr>
        <w:t>NOTIFIQUESE.</w:t>
      </w:r>
    </w:p>
    <w:p w:rsidR="00EF152D" w:rsidRDefault="00EF152D" w:rsidP="00EF152D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EF152D" w:rsidRDefault="00EF152D" w:rsidP="00EF152D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EF152D" w:rsidRDefault="00EF152D" w:rsidP="00EF152D">
      <w:pPr>
        <w:pStyle w:val="Prrafodelista"/>
        <w:spacing w:after="0"/>
        <w:ind w:left="1080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EF152D" w:rsidRDefault="00EF152D" w:rsidP="00EF152D">
      <w:pPr>
        <w:pStyle w:val="Prrafodelista"/>
        <w:spacing w:after="0"/>
        <w:ind w:left="1080"/>
        <w:jc w:val="center"/>
        <w:rPr>
          <w:rFonts w:ascii="Book Antiqua" w:hAnsi="Book Antiqua"/>
          <w:b/>
          <w:sz w:val="24"/>
          <w:szCs w:val="24"/>
          <w:shd w:val="clear" w:color="auto" w:fill="FFFFFF"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Jenni Vanessa Quintanilla García</w:t>
      </w:r>
    </w:p>
    <w:p w:rsidR="00EF152D" w:rsidRDefault="00EF152D" w:rsidP="00EF152D">
      <w:pPr>
        <w:pStyle w:val="Prrafodelista"/>
        <w:spacing w:after="0"/>
        <w:ind w:left="108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sz w:val="24"/>
          <w:szCs w:val="24"/>
          <w:shd w:val="clear" w:color="auto" w:fill="FFFFFF"/>
        </w:rPr>
        <w:t>Oficial de Información Ad Honorem</w:t>
      </w:r>
    </w:p>
    <w:p w:rsidR="00EF152D" w:rsidRDefault="00EF152D" w:rsidP="00EF152D"/>
    <w:p w:rsidR="00EF152D" w:rsidRDefault="00EF152D" w:rsidP="00EF152D"/>
    <w:p w:rsidR="00EF152D" w:rsidRDefault="00EF152D" w:rsidP="00EF152D"/>
    <w:p w:rsidR="00EF152D" w:rsidRPr="00EF152D" w:rsidRDefault="00EF152D" w:rsidP="00EF152D">
      <w:pPr>
        <w:spacing w:after="0"/>
        <w:jc w:val="center"/>
        <w:rPr>
          <w:rFonts w:ascii="Book Antiqua" w:hAnsi="Book Antiqua" w:cs="Helvetica"/>
          <w:b/>
          <w:color w:val="4F81BD" w:themeColor="accent1"/>
          <w:shd w:val="clear" w:color="auto" w:fill="FFFFFF"/>
        </w:rPr>
      </w:pPr>
      <w:r w:rsidRPr="00EF152D">
        <w:rPr>
          <w:rFonts w:ascii="Book Antiqua" w:hAnsi="Book Antiqua" w:cs="Helvetica"/>
          <w:b/>
          <w:color w:val="4F81BD" w:themeColor="accent1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D3B70" w:rsidRPr="00EF152D" w:rsidRDefault="00EF152D">
      <w:pPr>
        <w:rPr>
          <w:color w:val="4F81BD" w:themeColor="accent1"/>
        </w:rPr>
      </w:pPr>
      <w:bookmarkStart w:id="0" w:name="_GoBack"/>
      <w:bookmarkEnd w:id="0"/>
    </w:p>
    <w:sectPr w:rsidR="00DD3B70" w:rsidRPr="00EF15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2D"/>
    <w:rsid w:val="00876156"/>
    <w:rsid w:val="00E37341"/>
    <w:rsid w:val="00E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2021-05-12T17:51:00Z</dcterms:created>
  <dcterms:modified xsi:type="dcterms:W3CDTF">2021-05-12T17:52:00Z</dcterms:modified>
</cp:coreProperties>
</file>