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94" w:rsidRPr="00291591" w:rsidRDefault="00C22794" w:rsidP="00C22794">
      <w:pPr>
        <w:spacing w:after="0"/>
        <w:jc w:val="center"/>
        <w:rPr>
          <w:rFonts w:ascii="Book Antiqua" w:hAnsi="Book Antiqua"/>
          <w:sz w:val="24"/>
          <w:szCs w:val="24"/>
        </w:rPr>
      </w:pPr>
      <w:r w:rsidRPr="00FA7457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9264" behindDoc="1" locked="0" layoutInCell="1" allowOverlap="1" wp14:anchorId="159BD74C" wp14:editId="169F2C78">
            <wp:simplePos x="0" y="0"/>
            <wp:positionH relativeFrom="column">
              <wp:posOffset>1620639</wp:posOffset>
            </wp:positionH>
            <wp:positionV relativeFrom="paragraph">
              <wp:posOffset>-4541</wp:posOffset>
            </wp:positionV>
            <wp:extent cx="2472690" cy="161290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2794" w:rsidRPr="00291591" w:rsidRDefault="00C22794" w:rsidP="00C22794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C22794" w:rsidRPr="00291591" w:rsidRDefault="00C22794" w:rsidP="00C22794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C22794" w:rsidRDefault="00C22794" w:rsidP="00C22794">
      <w:pPr>
        <w:spacing w:after="0"/>
        <w:rPr>
          <w:rFonts w:ascii="Book Antiqua" w:hAnsi="Book Antiqua"/>
          <w:b/>
          <w:sz w:val="24"/>
          <w:szCs w:val="24"/>
        </w:rPr>
      </w:pPr>
    </w:p>
    <w:p w:rsidR="00C22794" w:rsidRDefault="00C22794" w:rsidP="00C22794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1C49B0" w:rsidRDefault="001C49B0" w:rsidP="00C22794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1C49B0" w:rsidRDefault="001C49B0" w:rsidP="00C22794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1C49B0" w:rsidRDefault="001C49B0" w:rsidP="00C22794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C22794" w:rsidRPr="00291591" w:rsidRDefault="00C22794" w:rsidP="00C22794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91591">
        <w:rPr>
          <w:rFonts w:ascii="Book Antiqua" w:hAnsi="Book Antiqua"/>
          <w:b/>
          <w:sz w:val="24"/>
          <w:szCs w:val="24"/>
        </w:rPr>
        <w:t>MINISTERIO DE GOBERNACIÓN Y DESARROLLO TERRITORIAL</w:t>
      </w:r>
    </w:p>
    <w:p w:rsidR="00C22794" w:rsidRPr="00291591" w:rsidRDefault="00C22794" w:rsidP="00C22794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291591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C22794" w:rsidRPr="00291591" w:rsidRDefault="00C22794" w:rsidP="00C22794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C22794" w:rsidRPr="001E3DAE" w:rsidRDefault="00C22794" w:rsidP="00C2279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shd w:val="clear" w:color="auto" w:fill="FFFFFF"/>
        </w:rPr>
      </w:pPr>
      <w:r w:rsidRPr="00F1545D">
        <w:rPr>
          <w:rFonts w:ascii="Book Antiqua" w:hAnsi="Book Antiqua"/>
          <w:b/>
        </w:rPr>
        <w:t>RESOLUCIÓN NÚMERO CIENTO NOVENTA Y</w:t>
      </w:r>
      <w:r>
        <w:rPr>
          <w:rFonts w:ascii="Book Antiqua" w:hAnsi="Book Antiqua"/>
          <w:b/>
        </w:rPr>
        <w:t xml:space="preserve"> OCHO</w:t>
      </w:r>
      <w:r w:rsidRPr="00F1545D">
        <w:rPr>
          <w:rFonts w:ascii="Book Antiqua" w:hAnsi="Book Antiqua"/>
        </w:rPr>
        <w:t xml:space="preserve">. </w:t>
      </w:r>
      <w:r w:rsidRPr="00F1545D">
        <w:rPr>
          <w:rFonts w:ascii="Book Antiqua" w:hAnsi="Book Antiqua"/>
          <w:lang w:val="es-ES" w:eastAsia="es-ES"/>
        </w:rPr>
        <w:t xml:space="preserve">En </w:t>
      </w:r>
      <w:r w:rsidRPr="00F1545D">
        <w:rPr>
          <w:rFonts w:ascii="Book Antiqua" w:hAnsi="Book Antiqua"/>
        </w:rPr>
        <w:t>la Unidad de Acceso a la Información Pública del Ministerio de Gobernación y Desarrollo Territ</w:t>
      </w:r>
      <w:r>
        <w:rPr>
          <w:rFonts w:ascii="Book Antiqua" w:hAnsi="Book Antiqua"/>
        </w:rPr>
        <w:t xml:space="preserve">orial: San Salvador, a las ocho </w:t>
      </w:r>
      <w:r w:rsidRPr="00F1545D">
        <w:rPr>
          <w:rFonts w:ascii="Book Antiqua" w:hAnsi="Book Antiqua"/>
        </w:rPr>
        <w:t xml:space="preserve">horas </w:t>
      </w:r>
      <w:r>
        <w:rPr>
          <w:rFonts w:ascii="Book Antiqua" w:hAnsi="Book Antiqua"/>
        </w:rPr>
        <w:t xml:space="preserve">con treinta </w:t>
      </w:r>
      <w:r w:rsidRPr="00F1545D">
        <w:rPr>
          <w:rFonts w:ascii="Book Antiqua" w:hAnsi="Book Antiqua"/>
        </w:rPr>
        <w:t xml:space="preserve">minutos del día  diez de diciembre de dos mil dieciocho. </w:t>
      </w:r>
      <w:r w:rsidRPr="00F1545D">
        <w:rPr>
          <w:rFonts w:ascii="Book Antiqua" w:hAnsi="Book Antiqua"/>
          <w:b/>
        </w:rPr>
        <w:t xml:space="preserve">CONSIDERANDO: </w:t>
      </w:r>
      <w:r w:rsidRPr="00F1545D">
        <w:rPr>
          <w:rFonts w:ascii="Book Antiqua" w:hAnsi="Book Antiqua"/>
          <w:b/>
          <w:lang w:val="es-ES" w:eastAsia="es-ES"/>
        </w:rPr>
        <w:t>I.</w:t>
      </w:r>
      <w:r w:rsidRPr="00F1545D">
        <w:rPr>
          <w:rFonts w:ascii="Book Antiqua" w:hAnsi="Book Antiqua"/>
          <w:lang w:val="es-ES" w:eastAsia="es-ES"/>
        </w:rPr>
        <w:t xml:space="preserve"> Téngase por recibida la solicitud de información presentada por medio del Sistema de Gestión de Solicitudes en fecha  el  día</w:t>
      </w:r>
      <w:r>
        <w:rPr>
          <w:rFonts w:ascii="Book Antiqua" w:hAnsi="Book Antiqua"/>
          <w:lang w:val="es-ES" w:eastAsia="es-ES"/>
        </w:rPr>
        <w:t xml:space="preserve"> veintisiete </w:t>
      </w:r>
      <w:r w:rsidRPr="00F1545D">
        <w:rPr>
          <w:rFonts w:ascii="Book Antiqua" w:hAnsi="Book Antiqua"/>
          <w:lang w:val="es-ES" w:eastAsia="es-ES"/>
        </w:rPr>
        <w:t>de nov</w:t>
      </w:r>
      <w:r>
        <w:rPr>
          <w:rFonts w:ascii="Book Antiqua" w:hAnsi="Book Antiqua"/>
          <w:lang w:val="es-ES" w:eastAsia="es-ES"/>
        </w:rPr>
        <w:t xml:space="preserve">iembre del corriente año, la que </w:t>
      </w:r>
      <w:r w:rsidRPr="00F1545D">
        <w:rPr>
          <w:rFonts w:ascii="Book Antiqua" w:hAnsi="Book Antiqua"/>
          <w:lang w:val="es-ES" w:eastAsia="es-ES"/>
        </w:rPr>
        <w:t>fue prevenida ese mismo día y subsanada</w:t>
      </w:r>
      <w:r>
        <w:rPr>
          <w:rFonts w:ascii="Book Antiqua" w:hAnsi="Book Antiqua"/>
          <w:lang w:val="es-ES" w:eastAsia="es-ES"/>
        </w:rPr>
        <w:t xml:space="preserve"> posteriormente</w:t>
      </w:r>
      <w:r w:rsidRPr="00F1545D">
        <w:rPr>
          <w:rFonts w:ascii="Book Antiqua" w:hAnsi="Book Antiqua"/>
          <w:lang w:val="es-ES" w:eastAsia="es-ES"/>
        </w:rPr>
        <w:t xml:space="preserve">, </w:t>
      </w:r>
      <w:r>
        <w:rPr>
          <w:rFonts w:ascii="Book Antiqua" w:hAnsi="Book Antiqua"/>
          <w:lang w:val="es-ES" w:eastAsia="es-ES"/>
        </w:rPr>
        <w:t xml:space="preserve">a </w:t>
      </w:r>
      <w:r w:rsidRPr="00F1545D">
        <w:rPr>
          <w:rFonts w:ascii="Book Antiqua" w:hAnsi="Book Antiqua"/>
          <w:lang w:val="es-ES" w:eastAsia="es-ES"/>
        </w:rPr>
        <w:t>nombre de</w:t>
      </w:r>
      <w:r>
        <w:rPr>
          <w:rFonts w:ascii="Book Antiqua" w:hAnsi="Book Antiqua"/>
          <w:lang w:val="es-ES" w:eastAsia="es-ES"/>
        </w:rPr>
        <w:t xml:space="preserve"> la señorita </w:t>
      </w:r>
      <w:r w:rsidR="001C49B0" w:rsidRPr="001C49B0">
        <w:rPr>
          <w:rFonts w:ascii="Book Antiqua" w:hAnsi="Book Antiqua"/>
          <w:b/>
          <w:lang w:val="es-ES" w:eastAsia="es-ES"/>
        </w:rPr>
        <w:t>---------------------------------</w:t>
      </w:r>
      <w:r>
        <w:rPr>
          <w:rFonts w:ascii="Book Antiqua" w:hAnsi="Book Antiqua" w:cs="Arial"/>
          <w:b/>
          <w:color w:val="000000" w:themeColor="text1"/>
          <w:shd w:val="clear" w:color="auto" w:fill="FFFFFF"/>
        </w:rPr>
        <w:t>,</w:t>
      </w:r>
      <w:r w:rsidRPr="00907F02">
        <w:rPr>
          <w:rFonts w:ascii="Book Antiqua" w:hAnsi="Book Antiqua"/>
          <w:b/>
          <w:shd w:val="clear" w:color="auto" w:fill="FFFFFF"/>
          <w:lang w:val="es-ES"/>
        </w:rPr>
        <w:t xml:space="preserve"> </w:t>
      </w:r>
      <w:r w:rsidRPr="00907F02">
        <w:rPr>
          <w:rFonts w:ascii="Book Antiqua" w:hAnsi="Book Antiqua"/>
          <w:lang w:val="es-ES" w:eastAsia="es-ES"/>
        </w:rPr>
        <w:t xml:space="preserve">registrada por esta Unidad bajo el correlativo </w:t>
      </w:r>
      <w:r w:rsidRPr="00907F02">
        <w:rPr>
          <w:rFonts w:ascii="Book Antiqua" w:hAnsi="Book Antiqua"/>
          <w:b/>
          <w:lang w:val="es-ES" w:eastAsia="es-ES"/>
        </w:rPr>
        <w:t>MIGOBDT-2018-01</w:t>
      </w:r>
      <w:r w:rsidR="001E3DAE">
        <w:rPr>
          <w:rFonts w:ascii="Book Antiqua" w:hAnsi="Book Antiqua"/>
          <w:b/>
          <w:lang w:val="es-ES" w:eastAsia="es-ES"/>
        </w:rPr>
        <w:t>93</w:t>
      </w:r>
      <w:r w:rsidRPr="00907F02">
        <w:rPr>
          <w:rFonts w:ascii="Book Antiqua" w:hAnsi="Book Antiqua"/>
          <w:shd w:val="clear" w:color="auto" w:fill="FFFFFF"/>
        </w:rPr>
        <w:t>, en la que ese</w:t>
      </w:r>
      <w:r>
        <w:rPr>
          <w:rFonts w:ascii="Book Antiqua" w:hAnsi="Book Antiqua"/>
          <w:shd w:val="clear" w:color="auto" w:fill="FFFFFF"/>
        </w:rPr>
        <w:t>ncial y textualmente requiere:</w:t>
      </w:r>
      <w:r w:rsidR="001E3DAE">
        <w:rPr>
          <w:rFonts w:ascii="Book Antiqua" w:hAnsi="Book Antiqua"/>
          <w:i/>
          <w:shd w:val="clear" w:color="auto" w:fill="FFFFFF"/>
        </w:rPr>
        <w:t xml:space="preserve"> </w:t>
      </w:r>
      <w:r w:rsidR="001E3DAE" w:rsidRPr="001C49B0">
        <w:rPr>
          <w:rFonts w:ascii="Book Antiqua" w:hAnsi="Book Antiqua"/>
          <w:i/>
          <w:shd w:val="clear" w:color="auto" w:fill="FFFFFF"/>
        </w:rPr>
        <w:t>“1.</w:t>
      </w:r>
      <w:r w:rsidR="001E3DAE" w:rsidRPr="001C49B0">
        <w:rPr>
          <w:rFonts w:ascii="Book Antiqua" w:hAnsi="Book Antiqua" w:cs="Arial"/>
          <w:i/>
          <w:shd w:val="clear" w:color="auto" w:fill="FFFFFF"/>
        </w:rPr>
        <w:t xml:space="preserve"> Presupuesto y gastos destinados al mantenimiento y mejora de transporte e implementos para los bomberos; 2. Planes, Presupuestos y gastos para enseñar y capacitar al cuerpo de bomberos del país.”</w:t>
      </w:r>
      <w:r w:rsidRPr="001C49B0">
        <w:rPr>
          <w:rFonts w:ascii="Book Antiqua" w:hAnsi="Book Antiqua"/>
          <w:i/>
          <w:shd w:val="clear" w:color="auto" w:fill="FFFFFF"/>
        </w:rPr>
        <w:t xml:space="preserve"> </w:t>
      </w:r>
      <w:r w:rsidRPr="00D621D3">
        <w:rPr>
          <w:rFonts w:ascii="Book Antiqua" w:hAnsi="Book Antiqua"/>
          <w:b/>
        </w:rPr>
        <w:t>II.</w:t>
      </w:r>
      <w:r>
        <w:rPr>
          <w:rFonts w:ascii="Book Antiqua" w:hAnsi="Book Antiqua"/>
          <w:b/>
          <w:i/>
        </w:rPr>
        <w:t xml:space="preserve"> </w:t>
      </w:r>
      <w:r w:rsidRPr="00725ECB">
        <w:rPr>
          <w:rFonts w:ascii="Book Antiqua" w:hAnsi="Book Antiqua"/>
          <w:szCs w:val="22"/>
          <w:lang w:val="es-ES" w:eastAsia="es-ES"/>
        </w:rPr>
        <w:t xml:space="preserve">Que la referida solicitud cumple con todos los requisitos establecidos en el Art. 66 de la Ley de Acceso a la Información Pública –LAIP-, a su vez dicha información no se encuentra entre las excepciones enumeradas en los artículos 19 y 24 de la Ley y 19 de su Reglamento. </w:t>
      </w:r>
      <w:r>
        <w:rPr>
          <w:rFonts w:ascii="Book Antiqua" w:hAnsi="Book Antiqua"/>
          <w:lang w:val="es-ES" w:eastAsia="es-ES"/>
        </w:rPr>
        <w:t xml:space="preserve"> </w:t>
      </w:r>
      <w:r w:rsidRPr="00D621D3">
        <w:rPr>
          <w:rFonts w:ascii="Book Antiqua" w:hAnsi="Book Antiqua"/>
          <w:b/>
          <w:lang w:val="es-ES" w:eastAsia="es-ES"/>
        </w:rPr>
        <w:t>III</w:t>
      </w:r>
      <w:r w:rsidRPr="00C52555">
        <w:rPr>
          <w:rFonts w:ascii="Book Antiqua" w:hAnsi="Book Antiqua"/>
          <w:b/>
          <w:sz w:val="22"/>
          <w:szCs w:val="22"/>
          <w:lang w:val="es-ES" w:eastAsia="es-ES"/>
        </w:rPr>
        <w:t>.</w:t>
      </w:r>
      <w:r w:rsidRPr="00C52555">
        <w:rPr>
          <w:rFonts w:ascii="Book Antiqua" w:hAnsi="Book Antiqua"/>
          <w:sz w:val="22"/>
          <w:szCs w:val="22"/>
          <w:lang w:val="es-ES" w:eastAsia="es-ES"/>
        </w:rPr>
        <w:t xml:space="preserve">  </w:t>
      </w:r>
      <w:r w:rsidRPr="00C52555">
        <w:rPr>
          <w:rFonts w:ascii="Book Antiqua" w:hAnsi="Book Antiqua"/>
          <w:sz w:val="22"/>
          <w:szCs w:val="22"/>
          <w:lang w:eastAsia="es-ES"/>
        </w:rPr>
        <w:t>Que en razón de lo anterior, conforme al Art. 70 de la LAIP, se trasladó la solicitud a la</w:t>
      </w:r>
      <w:r w:rsidR="001E3DAE">
        <w:rPr>
          <w:rFonts w:ascii="Book Antiqua" w:hAnsi="Book Antiqua"/>
          <w:sz w:val="22"/>
          <w:szCs w:val="22"/>
          <w:lang w:eastAsia="es-ES"/>
        </w:rPr>
        <w:t xml:space="preserve"> Dirección General del Cuerpo de Bomberos, la que remite la información anexa a la presente resolución. </w:t>
      </w:r>
      <w:r w:rsidRPr="00C52555">
        <w:rPr>
          <w:rFonts w:ascii="Book Antiqua" w:hAnsi="Book Antiqua"/>
          <w:sz w:val="22"/>
          <w:szCs w:val="22"/>
          <w:lang w:eastAsia="es-ES"/>
        </w:rPr>
        <w:t xml:space="preserve"> </w:t>
      </w:r>
      <w:r w:rsidRPr="00725ECB">
        <w:rPr>
          <w:rFonts w:ascii="Book Antiqua" w:hAnsi="Book Antiqua"/>
          <w:b/>
          <w:szCs w:val="22"/>
          <w:lang w:eastAsia="es-ES"/>
        </w:rPr>
        <w:t>POR TANTO</w:t>
      </w:r>
      <w:r w:rsidRPr="00725ECB">
        <w:rPr>
          <w:rFonts w:ascii="Book Antiqua" w:hAnsi="Book Antiqua"/>
          <w:szCs w:val="22"/>
          <w:lang w:eastAsia="es-ES"/>
        </w:rPr>
        <w:t xml:space="preserve">, </w:t>
      </w:r>
      <w:r w:rsidRPr="00725ECB">
        <w:rPr>
          <w:rFonts w:ascii="Book Antiqua" w:hAnsi="Book Antiqua"/>
          <w:szCs w:val="22"/>
          <w:lang w:val="es-ES" w:eastAsia="es-ES"/>
        </w:rPr>
        <w:t xml:space="preserve">conforme a los Arts. 86 Inciso 3° de la Constitución y Arts. </w:t>
      </w:r>
      <w:r>
        <w:rPr>
          <w:rFonts w:ascii="Book Antiqua" w:hAnsi="Book Antiqua"/>
          <w:szCs w:val="22"/>
          <w:lang w:val="es-ES" w:eastAsia="es-ES"/>
        </w:rPr>
        <w:t xml:space="preserve">2, 7, 9, 50, 62, </w:t>
      </w:r>
      <w:r w:rsidRPr="00725ECB">
        <w:rPr>
          <w:rFonts w:ascii="Book Antiqua" w:hAnsi="Book Antiqua"/>
          <w:szCs w:val="22"/>
          <w:lang w:val="es-ES" w:eastAsia="es-ES"/>
        </w:rPr>
        <w:t xml:space="preserve"> 72</w:t>
      </w:r>
      <w:r>
        <w:rPr>
          <w:rFonts w:ascii="Book Antiqua" w:hAnsi="Book Antiqua"/>
          <w:szCs w:val="22"/>
          <w:lang w:val="es-ES" w:eastAsia="es-ES"/>
        </w:rPr>
        <w:t xml:space="preserve"> y 82</w:t>
      </w:r>
      <w:r w:rsidRPr="00725ECB">
        <w:rPr>
          <w:rFonts w:ascii="Book Antiqua" w:hAnsi="Book Antiqua"/>
          <w:szCs w:val="22"/>
          <w:lang w:val="es-ES" w:eastAsia="es-ES"/>
        </w:rPr>
        <w:t xml:space="preserve"> de la Ley de Acceso a la Información Pública, esta Unidad de Acceso a la Información Pública, </w:t>
      </w:r>
      <w:r w:rsidRPr="00725ECB">
        <w:rPr>
          <w:rFonts w:ascii="Book Antiqua" w:hAnsi="Book Antiqua"/>
          <w:b/>
          <w:szCs w:val="22"/>
          <w:lang w:val="es-ES" w:eastAsia="es-ES"/>
        </w:rPr>
        <w:t xml:space="preserve">RESUELVE: </w:t>
      </w:r>
      <w:r>
        <w:rPr>
          <w:rFonts w:ascii="Book Antiqua" w:hAnsi="Book Antiqua"/>
          <w:b/>
          <w:szCs w:val="22"/>
          <w:lang w:val="es-ES" w:eastAsia="es-ES"/>
        </w:rPr>
        <w:lastRenderedPageBreak/>
        <w:t xml:space="preserve">1°) Concédase </w:t>
      </w:r>
      <w:r w:rsidRPr="00562F1A">
        <w:rPr>
          <w:rFonts w:ascii="Book Antiqua" w:hAnsi="Book Antiqua"/>
          <w:szCs w:val="22"/>
          <w:lang w:val="es-ES" w:eastAsia="es-ES"/>
        </w:rPr>
        <w:t>el acceso a la información pública.</w:t>
      </w:r>
      <w:r>
        <w:rPr>
          <w:rFonts w:ascii="Book Antiqua" w:hAnsi="Book Antiqua"/>
          <w:b/>
          <w:szCs w:val="22"/>
          <w:lang w:val="es-ES" w:eastAsia="es-ES"/>
        </w:rPr>
        <w:t xml:space="preserve"> 2°) Entréguese </w:t>
      </w:r>
      <w:r w:rsidRPr="00562F1A">
        <w:rPr>
          <w:rFonts w:ascii="Book Antiqua" w:hAnsi="Book Antiqua"/>
          <w:szCs w:val="22"/>
          <w:lang w:val="es-ES" w:eastAsia="es-ES"/>
        </w:rPr>
        <w:t>la información solicitada</w:t>
      </w:r>
      <w:r>
        <w:rPr>
          <w:rFonts w:ascii="Book Antiqua" w:hAnsi="Book Antiqua"/>
          <w:b/>
          <w:szCs w:val="22"/>
          <w:lang w:val="es-ES" w:eastAsia="es-ES"/>
        </w:rPr>
        <w:t>. 3°) Remítase</w:t>
      </w:r>
      <w:r w:rsidRPr="00377E67">
        <w:rPr>
          <w:rFonts w:ascii="Book Antiqua" w:hAnsi="Book Antiqua"/>
          <w:szCs w:val="22"/>
          <w:lang w:val="es-ES" w:eastAsia="es-ES"/>
        </w:rPr>
        <w:t xml:space="preserve"> la presente por el medio señalado para tal efecto. </w:t>
      </w:r>
      <w:r>
        <w:rPr>
          <w:rFonts w:ascii="Book Antiqua" w:hAnsi="Book Antiqua"/>
          <w:szCs w:val="22"/>
          <w:lang w:val="es-ES" w:eastAsia="es-ES"/>
        </w:rPr>
        <w:t xml:space="preserve"> NOTIFÍQUESE. – </w:t>
      </w:r>
    </w:p>
    <w:p w:rsidR="00C22794" w:rsidRDefault="00C22794" w:rsidP="00C2279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szCs w:val="22"/>
          <w:lang w:val="es-ES" w:eastAsia="es-ES"/>
        </w:rPr>
      </w:pPr>
    </w:p>
    <w:p w:rsidR="001C49B0" w:rsidRDefault="001C49B0" w:rsidP="00C2279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szCs w:val="22"/>
          <w:lang w:val="es-ES" w:eastAsia="es-ES"/>
        </w:rPr>
      </w:pPr>
    </w:p>
    <w:p w:rsidR="001C49B0" w:rsidRDefault="001C49B0" w:rsidP="00C2279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Book Antiqua" w:hAnsi="Book Antiqua"/>
          <w:szCs w:val="22"/>
          <w:lang w:val="es-ES" w:eastAsia="es-ES"/>
        </w:rPr>
      </w:pPr>
      <w:bookmarkStart w:id="0" w:name="_GoBack"/>
      <w:bookmarkEnd w:id="0"/>
    </w:p>
    <w:p w:rsidR="00C22794" w:rsidRDefault="00C22794" w:rsidP="00C22794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Book Antiqua" w:hAnsi="Book Antiqua"/>
          <w:szCs w:val="22"/>
          <w:lang w:val="es-ES" w:eastAsia="es-ES"/>
        </w:rPr>
      </w:pPr>
    </w:p>
    <w:p w:rsidR="00C22794" w:rsidRPr="001C49B0" w:rsidRDefault="00C22794" w:rsidP="001C49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/>
          <w:caps/>
          <w:szCs w:val="22"/>
          <w:lang w:val="es-ES" w:eastAsia="es-ES"/>
        </w:rPr>
      </w:pPr>
      <w:r w:rsidRPr="001C49B0">
        <w:rPr>
          <w:rFonts w:ascii="Book Antiqua" w:hAnsi="Book Antiqua"/>
          <w:b/>
          <w:caps/>
          <w:szCs w:val="22"/>
          <w:lang w:val="es-ES" w:eastAsia="es-ES"/>
        </w:rPr>
        <w:t>Licda. Jenni Vanessa Quintanilla García</w:t>
      </w:r>
    </w:p>
    <w:p w:rsidR="00C22794" w:rsidRPr="001C49B0" w:rsidRDefault="00C22794" w:rsidP="001C49B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/>
          <w:caps/>
          <w:szCs w:val="22"/>
          <w:lang w:val="es-ES" w:eastAsia="es-ES"/>
        </w:rPr>
      </w:pPr>
      <w:r w:rsidRPr="001C49B0">
        <w:rPr>
          <w:rFonts w:ascii="Book Antiqua" w:hAnsi="Book Antiqua"/>
          <w:b/>
          <w:caps/>
          <w:szCs w:val="22"/>
          <w:lang w:val="es-ES" w:eastAsia="es-ES"/>
        </w:rPr>
        <w:t xml:space="preserve">Oficial de Información Ad Honorem. </w:t>
      </w:r>
    </w:p>
    <w:p w:rsidR="00C22794" w:rsidRPr="00D621D3" w:rsidRDefault="00C22794" w:rsidP="00C22794">
      <w:pPr>
        <w:spacing w:line="360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C22794" w:rsidRPr="00C52555" w:rsidRDefault="00C22794" w:rsidP="00C22794">
      <w:pPr>
        <w:spacing w:after="0" w:line="360" w:lineRule="auto"/>
        <w:jc w:val="both"/>
        <w:rPr>
          <w:rFonts w:ascii="Book Antiqua" w:hAnsi="Book Antiqua"/>
          <w:shd w:val="clear" w:color="auto" w:fill="FFFFFF"/>
        </w:rPr>
      </w:pPr>
    </w:p>
    <w:p w:rsidR="00C22794" w:rsidRDefault="00C22794" w:rsidP="00C22794">
      <w:pPr>
        <w:spacing w:after="0" w:line="360" w:lineRule="auto"/>
        <w:jc w:val="both"/>
        <w:rPr>
          <w:rFonts w:ascii="Book Antiqua" w:hAnsi="Book Antiqua"/>
          <w:sz w:val="24"/>
          <w:szCs w:val="24"/>
          <w:shd w:val="clear" w:color="auto" w:fill="FFFFFF"/>
        </w:rPr>
      </w:pPr>
    </w:p>
    <w:p w:rsidR="00C22794" w:rsidRDefault="00C22794" w:rsidP="00C22794">
      <w:pPr>
        <w:spacing w:after="0" w:line="360" w:lineRule="auto"/>
        <w:jc w:val="both"/>
        <w:rPr>
          <w:rFonts w:ascii="Book Antiqua" w:hAnsi="Book Antiqua" w:cs="Helvetica"/>
          <w:sz w:val="24"/>
          <w:szCs w:val="24"/>
          <w:shd w:val="clear" w:color="auto" w:fill="FFFFFF"/>
        </w:rPr>
      </w:pPr>
    </w:p>
    <w:p w:rsidR="00C22794" w:rsidRDefault="00C22794" w:rsidP="00C22794">
      <w:pPr>
        <w:spacing w:after="0" w:line="360" w:lineRule="auto"/>
        <w:jc w:val="both"/>
        <w:rPr>
          <w:rFonts w:ascii="Book Antiqua" w:hAnsi="Book Antiqua" w:cs="Helvetica"/>
          <w:sz w:val="24"/>
          <w:szCs w:val="24"/>
          <w:shd w:val="clear" w:color="auto" w:fill="FFFFFF"/>
        </w:rPr>
      </w:pPr>
    </w:p>
    <w:p w:rsidR="00C22794" w:rsidRDefault="00C22794" w:rsidP="00C22794">
      <w:pPr>
        <w:spacing w:line="360" w:lineRule="auto"/>
        <w:rPr>
          <w:rFonts w:ascii="Book Antiqua" w:hAnsi="Book Antiqua" w:cs="Helvetica"/>
          <w:sz w:val="24"/>
          <w:szCs w:val="24"/>
          <w:shd w:val="clear" w:color="auto" w:fill="FFFFFF"/>
        </w:rPr>
      </w:pPr>
    </w:p>
    <w:p w:rsidR="00C22794" w:rsidRDefault="00C22794" w:rsidP="00C22794">
      <w:pPr>
        <w:spacing w:line="360" w:lineRule="auto"/>
      </w:pPr>
    </w:p>
    <w:p w:rsidR="00981AC3" w:rsidRDefault="00E01E60"/>
    <w:sectPr w:rsidR="00981AC3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60" w:rsidRDefault="00E01E60" w:rsidP="001C49B0">
      <w:pPr>
        <w:spacing w:after="0" w:line="240" w:lineRule="auto"/>
      </w:pPr>
      <w:r>
        <w:separator/>
      </w:r>
    </w:p>
  </w:endnote>
  <w:endnote w:type="continuationSeparator" w:id="0">
    <w:p w:rsidR="00E01E60" w:rsidRDefault="00E01E60" w:rsidP="001C4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60" w:rsidRDefault="00E01E60" w:rsidP="001C49B0">
      <w:pPr>
        <w:spacing w:after="0" w:line="240" w:lineRule="auto"/>
      </w:pPr>
      <w:r>
        <w:separator/>
      </w:r>
    </w:p>
  </w:footnote>
  <w:footnote w:type="continuationSeparator" w:id="0">
    <w:p w:rsidR="00E01E60" w:rsidRDefault="00E01E60" w:rsidP="001C4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9B0" w:rsidRDefault="001C49B0" w:rsidP="001C49B0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-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1C49B0" w:rsidRDefault="001C49B0">
    <w:pPr>
      <w:pStyle w:val="Encabezado"/>
      <w:rPr>
        <w:lang w:val="es-ES"/>
      </w:rPr>
    </w:pPr>
  </w:p>
  <w:p w:rsidR="001C49B0" w:rsidRDefault="001C49B0">
    <w:pPr>
      <w:pStyle w:val="Encabezado"/>
      <w:rPr>
        <w:lang w:val="es-ES"/>
      </w:rPr>
    </w:pPr>
  </w:p>
  <w:p w:rsidR="001C49B0" w:rsidRPr="001C49B0" w:rsidRDefault="001C49B0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94"/>
    <w:rsid w:val="000F0737"/>
    <w:rsid w:val="001C49B0"/>
    <w:rsid w:val="001E3DAE"/>
    <w:rsid w:val="00512C63"/>
    <w:rsid w:val="00C22794"/>
    <w:rsid w:val="00CB4CBF"/>
    <w:rsid w:val="00E0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C49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9B0"/>
  </w:style>
  <w:style w:type="paragraph" w:styleId="Piedepgina">
    <w:name w:val="footer"/>
    <w:basedOn w:val="Normal"/>
    <w:link w:val="PiedepginaCar"/>
    <w:uiPriority w:val="99"/>
    <w:unhideWhenUsed/>
    <w:rsid w:val="001C49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7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2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1C49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49B0"/>
  </w:style>
  <w:style w:type="paragraph" w:styleId="Piedepgina">
    <w:name w:val="footer"/>
    <w:basedOn w:val="Normal"/>
    <w:link w:val="PiedepginaCar"/>
    <w:uiPriority w:val="99"/>
    <w:unhideWhenUsed/>
    <w:rsid w:val="001C49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4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A3E20-B205-4B0D-AAA4-C18B7CF7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 Quintanilla</dc:creator>
  <cp:lastModifiedBy>Graciela María Gómez Varela</cp:lastModifiedBy>
  <cp:revision>2</cp:revision>
  <cp:lastPrinted>2018-12-10T20:11:00Z</cp:lastPrinted>
  <dcterms:created xsi:type="dcterms:W3CDTF">2019-01-22T20:02:00Z</dcterms:created>
  <dcterms:modified xsi:type="dcterms:W3CDTF">2019-01-22T20:02:00Z</dcterms:modified>
</cp:coreProperties>
</file>