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6B2AF3" w:rsidTr="00F15C4E">
        <w:trPr>
          <w:trHeight w:val="1784"/>
        </w:trPr>
        <w:tc>
          <w:tcPr>
            <w:tcW w:w="2937" w:type="dxa"/>
            <w:hideMark/>
          </w:tcPr>
          <w:p w:rsidR="006B2AF3" w:rsidRDefault="006B2AF3" w:rsidP="00E34EC3">
            <w:pPr>
              <w:rPr>
                <w:rFonts w:cs="Times New Roman"/>
              </w:rPr>
            </w:pPr>
          </w:p>
        </w:tc>
        <w:tc>
          <w:tcPr>
            <w:tcW w:w="3279" w:type="dxa"/>
            <w:hideMark/>
          </w:tcPr>
          <w:p w:rsidR="006B2AF3" w:rsidRDefault="0079035F" w:rsidP="00E34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65D27C" wp14:editId="4D48B092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6B2AF3" w:rsidRDefault="006B2AF3" w:rsidP="00E34EC3">
            <w:pPr>
              <w:spacing w:after="0"/>
              <w:rPr>
                <w:rFonts w:cs="Times New Roman"/>
              </w:rPr>
            </w:pPr>
          </w:p>
        </w:tc>
      </w:tr>
      <w:tr w:rsidR="006B2AF3" w:rsidTr="00F15C4E">
        <w:trPr>
          <w:trHeight w:val="758"/>
        </w:trPr>
        <w:tc>
          <w:tcPr>
            <w:tcW w:w="9155" w:type="dxa"/>
            <w:gridSpan w:val="3"/>
            <w:hideMark/>
          </w:tcPr>
          <w:p w:rsidR="006B2AF3" w:rsidRPr="008D5AEC" w:rsidRDefault="006B2AF3" w:rsidP="008B065F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MINISTE</w:t>
            </w:r>
            <w:r w:rsidR="00F15C4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RIO DE GOBERNACIÓN Y DESARROLLO</w:t>
            </w: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TERRITORIAL</w:t>
            </w:r>
          </w:p>
          <w:p w:rsidR="006B2AF3" w:rsidRDefault="006B2AF3" w:rsidP="008B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 w:rsidRPr="008D5AEC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val="es-ES" w:eastAsia="es-ES"/>
              </w:rPr>
              <w:t>REPÚBLICA DE EL SALVADOR, AMÉRICA CENTRAL</w:t>
            </w:r>
          </w:p>
        </w:tc>
      </w:tr>
    </w:tbl>
    <w:p w:rsidR="006B2AF3" w:rsidRPr="00F15C4E" w:rsidRDefault="006B2AF3" w:rsidP="008B065F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  <w:sz w:val="22"/>
          <w:szCs w:val="22"/>
          <w:lang w:eastAsia="es-ES"/>
        </w:rPr>
      </w:pPr>
      <w:r w:rsidRPr="00F15C4E">
        <w:rPr>
          <w:rFonts w:ascii="Palatino Linotype" w:hAnsi="Palatino Linotype"/>
          <w:sz w:val="22"/>
          <w:szCs w:val="22"/>
          <w:lang w:val="es-ES" w:eastAsia="es-ES"/>
        </w:rPr>
        <w:t xml:space="preserve">RESOLUCIÓN NÚMERO CINCUENTA Y SEIS, NÚMERO CORRELATIVO </w:t>
      </w:r>
      <w:r w:rsidRPr="00F15C4E">
        <w:rPr>
          <w:rFonts w:ascii="Palatino Linotype" w:hAnsi="Palatino Linotype"/>
          <w:sz w:val="22"/>
          <w:szCs w:val="22"/>
        </w:rPr>
        <w:t>MIGOBDT-2018-00</w:t>
      </w:r>
      <w:r w:rsidRPr="00F15C4E">
        <w:rPr>
          <w:rFonts w:ascii="Palatino Linotype" w:hAnsi="Palatino Linotype" w:cs="Helvetica"/>
          <w:color w:val="333333"/>
          <w:sz w:val="22"/>
          <w:szCs w:val="22"/>
        </w:rPr>
        <w:t>44.</w:t>
      </w:r>
      <w:r w:rsidRPr="00F15C4E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UNIDAD DE ACCESO A LA INFORMACIÓN DEL MINISTERIO DE GOBERNACIÓN Y DESARROLLO TERRITORIAL.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San Salvador, a las once horas y veinticuatro minutos del día diecisiete de abril del año dos mil dieciocho.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CONSIDERANDO: I.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Que habiéndose presentado solicitud a la  Unidad de Acceso a la Información de esta Secretaria de Estado por</w:t>
      </w:r>
      <w:r w:rsidR="00506933"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la señora </w:t>
      </w:r>
      <w:r w:rsidR="0019620A">
        <w:rPr>
          <w:rFonts w:ascii="Palatino Linotype" w:hAnsi="Palatino Linotype"/>
          <w:sz w:val="22"/>
          <w:szCs w:val="22"/>
          <w:lang w:val="es-ES" w:eastAsia="es-ES"/>
        </w:rPr>
        <w:t>---------------------------</w:t>
      </w:r>
      <w:r w:rsidR="004C1C49">
        <w:rPr>
          <w:rFonts w:ascii="Palatino Linotype" w:hAnsi="Palatino Linotype"/>
          <w:sz w:val="22"/>
          <w:szCs w:val="22"/>
          <w:lang w:val="es-ES" w:eastAsia="es-ES"/>
        </w:rPr>
        <w:t>--------------------</w:t>
      </w:r>
      <w:bookmarkStart w:id="0" w:name="_GoBack"/>
      <w:bookmarkEnd w:id="0"/>
      <w:r w:rsidR="00506933" w:rsidRPr="00F15C4E">
        <w:rPr>
          <w:rFonts w:ascii="Palatino Linotype" w:hAnsi="Palatino Linotype"/>
          <w:sz w:val="22"/>
          <w:szCs w:val="22"/>
          <w:lang w:val="es-ES" w:eastAsia="es-ES"/>
        </w:rPr>
        <w:t xml:space="preserve">, </w:t>
      </w:r>
      <w:r w:rsidR="00506933"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 xml:space="preserve">el día veinte de marzo del presente año.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En la cual requiere: 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“Informe si el señor William Alexander Rodríguez Portillo es empleado de ese Ministerio, con indicación del cargo que ocupa, su fecha de inicio de funciones, y el dato 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de su remuneración mensual en concepto de salario. 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b) Copia electrónica, en versión pública, de las amonestaciones, suspensiones (en cualquier 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modalidad), destituciones o despidos que consten en el expediente del señor William 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Alexander Rodríguez Portillo, en virtud de cualquier incumplimiento a la Ley del 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Servicio Civil o cualquier otra normativa, que se hayan realizado desde el momento de 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>su nombramiento o contratación en ese Ministerio hasta la fecha de la presente 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</w:rPr>
        <w:t xml:space="preserve"> </w:t>
      </w:r>
      <w:r w:rsidR="00506933" w:rsidRPr="00F15C4E">
        <w:rPr>
          <w:rFonts w:ascii="Palatino Linotype" w:hAnsi="Palatino Linotype" w:cs="Helvetica"/>
          <w:b w:val="0"/>
          <w:color w:val="333333"/>
          <w:sz w:val="22"/>
          <w:szCs w:val="22"/>
          <w:shd w:val="clear" w:color="auto" w:fill="FFFFFF"/>
        </w:rPr>
        <w:t xml:space="preserve">solicitud.” </w:t>
      </w:r>
      <w:r w:rsidRPr="00F15C4E">
        <w:rPr>
          <w:rFonts w:ascii="Palatino Linotype" w:hAnsi="Palatino Linotype"/>
          <w:sz w:val="22"/>
          <w:szCs w:val="22"/>
          <w:lang w:eastAsia="es-ES"/>
        </w:rPr>
        <w:t>II.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Que la referida solicitud cumple con todos los requisitos establecidos en el artículo 66 de la Ley de Acceso </w:t>
      </w:r>
      <w:r w:rsidR="00506933"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a la Información Pública (LAIP). </w:t>
      </w:r>
      <w:r w:rsidRPr="00F15C4E">
        <w:rPr>
          <w:rFonts w:ascii="Palatino Linotype" w:hAnsi="Palatino Linotype"/>
          <w:sz w:val="22"/>
          <w:szCs w:val="22"/>
          <w:lang w:eastAsia="es-ES"/>
        </w:rPr>
        <w:t>III.</w:t>
      </w:r>
      <w:r w:rsidR="00F15C4E">
        <w:rPr>
          <w:rFonts w:ascii="Palatino Linotype" w:hAnsi="Palatino Linotype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sz w:val="22"/>
          <w:szCs w:val="22"/>
          <w:lang w:eastAsia="es-ES"/>
        </w:rPr>
        <w:t xml:space="preserve"> 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>Por lo que se trasladó la solicitud a la Dirección</w:t>
      </w:r>
      <w:r w:rsidR="008B065F" w:rsidRPr="00F15C4E">
        <w:rPr>
          <w:rFonts w:ascii="Palatino Linotype" w:hAnsi="Palatino Linotype"/>
          <w:b w:val="0"/>
          <w:sz w:val="22"/>
          <w:szCs w:val="22"/>
          <w:lang w:eastAsia="es-ES"/>
        </w:rPr>
        <w:t xml:space="preserve"> de Recursos Humanos </w:t>
      </w:r>
      <w:r w:rsidRPr="00F15C4E">
        <w:rPr>
          <w:rFonts w:ascii="Palatino Linotype" w:hAnsi="Palatino Linotype"/>
          <w:b w:val="0"/>
          <w:sz w:val="22"/>
          <w:szCs w:val="22"/>
          <w:lang w:eastAsia="es-ES"/>
        </w:rPr>
        <w:t>de este Ministerio, la que remitió memorando en el que se expresa lo siguiente:</w:t>
      </w:r>
      <w:r w:rsidR="008B065F" w:rsidRPr="00F15C4E">
        <w:rPr>
          <w:rFonts w:ascii="Palatino Linotype" w:hAnsi="Palatino Linotype"/>
          <w:b w:val="0"/>
          <w:sz w:val="22"/>
          <w:szCs w:val="22"/>
          <w:lang w:eastAsia="es-ES"/>
        </w:rPr>
        <w:t xml:space="preserve"> “</w:t>
      </w:r>
      <w:r w:rsidR="008B065F" w:rsidRPr="00F15C4E">
        <w:rPr>
          <w:rFonts w:ascii="Palatino Linotype" w:hAnsi="Palatino Linotype"/>
          <w:b w:val="0"/>
          <w:sz w:val="22"/>
          <w:szCs w:val="22"/>
        </w:rPr>
        <w:t>El señor William Alexander Rodríguez Portillo es empleado de esta Secretaría de Estado desd</w:t>
      </w:r>
      <w:r w:rsidR="00F15C4E">
        <w:rPr>
          <w:rFonts w:ascii="Palatino Linotype" w:hAnsi="Palatino Linotype"/>
          <w:b w:val="0"/>
          <w:sz w:val="22"/>
          <w:szCs w:val="22"/>
        </w:rPr>
        <w:t>e el 14 de enero de 2000 hasta l</w:t>
      </w:r>
      <w:r w:rsidR="008B065F" w:rsidRPr="00F15C4E">
        <w:rPr>
          <w:rFonts w:ascii="Palatino Linotype" w:hAnsi="Palatino Linotype"/>
          <w:b w:val="0"/>
          <w:sz w:val="22"/>
          <w:szCs w:val="22"/>
        </w:rPr>
        <w:t>a fecha, el cargo que ocupa es de Técnico de Recur</w:t>
      </w:r>
      <w:r w:rsidR="00F15C4E">
        <w:rPr>
          <w:rFonts w:ascii="Palatino Linotype" w:hAnsi="Palatino Linotype"/>
          <w:b w:val="0"/>
          <w:sz w:val="22"/>
          <w:szCs w:val="22"/>
        </w:rPr>
        <w:t>sos Humanos y Bienestar Laboral,</w:t>
      </w:r>
      <w:r w:rsidR="008B065F" w:rsidRPr="00F15C4E">
        <w:rPr>
          <w:rFonts w:ascii="Palatino Linotype" w:hAnsi="Palatino Linotype"/>
          <w:b w:val="0"/>
          <w:sz w:val="22"/>
          <w:szCs w:val="22"/>
        </w:rPr>
        <w:t xml:space="preserve"> no consta en su expediente que alguna vez haya sido destituido o despedido por faltas a la Ley.- El resto de la información requerida es confidencial, por lo tanto no se puede brindar”</w:t>
      </w:r>
      <w:r w:rsidR="0079035F">
        <w:rPr>
          <w:rFonts w:ascii="Palatino Linotype" w:hAnsi="Palatino Linotype"/>
          <w:b w:val="0"/>
          <w:sz w:val="22"/>
          <w:szCs w:val="22"/>
          <w:lang w:eastAsia="es-ES"/>
        </w:rPr>
        <w:t xml:space="preserve">.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POR TANTO,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RESUELVE: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 1°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 xml:space="preserve">CONCEDER </w:t>
      </w:r>
      <w:r w:rsidRPr="00F15C4E">
        <w:rPr>
          <w:rFonts w:ascii="Palatino Linotype" w:hAnsi="Palatino Linotype"/>
          <w:b w:val="0"/>
          <w:sz w:val="22"/>
          <w:szCs w:val="22"/>
          <w:lang w:val="es-ES" w:eastAsia="es-ES"/>
        </w:rPr>
        <w:t xml:space="preserve">el acceso a la información solicitada. 2° Remítase la presente por medio señalada para tal efecto. </w:t>
      </w:r>
      <w:r w:rsidRPr="00F15C4E">
        <w:rPr>
          <w:rFonts w:ascii="Palatino Linotype" w:hAnsi="Palatino Linotype"/>
          <w:sz w:val="22"/>
          <w:szCs w:val="22"/>
          <w:lang w:val="es-ES" w:eastAsia="es-ES"/>
        </w:rPr>
        <w:t>NOTIFÍQUESE.</w:t>
      </w:r>
    </w:p>
    <w:p w:rsidR="006B2AF3" w:rsidRPr="008D5AEC" w:rsidRDefault="006B2AF3" w:rsidP="008B065F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6B2AF3" w:rsidRPr="00FB4872" w:rsidRDefault="006B2AF3" w:rsidP="008B065F">
      <w:pPr>
        <w:spacing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6B2AF3" w:rsidRPr="00FB4872" w:rsidRDefault="006B2AF3" w:rsidP="008B065F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B2AF3" w:rsidRPr="008D5AEC" w:rsidRDefault="006B2AF3" w:rsidP="008B065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O</w:t>
      </w:r>
      <w:r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 xml:space="preserve">FICIAL DE INFORMACIÓN AD-HONOREM </w:t>
      </w:r>
    </w:p>
    <w:p w:rsidR="001716B2" w:rsidRPr="006B2AF3" w:rsidRDefault="001716B2">
      <w:pPr>
        <w:rPr>
          <w:lang w:val="es-ES_tradnl"/>
        </w:rPr>
      </w:pPr>
    </w:p>
    <w:sectPr w:rsidR="001716B2" w:rsidRPr="006B2AF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40" w:rsidRDefault="00084440" w:rsidP="0019620A">
      <w:pPr>
        <w:spacing w:after="0" w:line="240" w:lineRule="auto"/>
      </w:pPr>
      <w:r>
        <w:separator/>
      </w:r>
    </w:p>
  </w:endnote>
  <w:endnote w:type="continuationSeparator" w:id="0">
    <w:p w:rsidR="00084440" w:rsidRDefault="00084440" w:rsidP="0019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40" w:rsidRDefault="00084440" w:rsidP="0019620A">
      <w:pPr>
        <w:spacing w:after="0" w:line="240" w:lineRule="auto"/>
      </w:pPr>
      <w:r>
        <w:separator/>
      </w:r>
    </w:p>
  </w:footnote>
  <w:footnote w:type="continuationSeparator" w:id="0">
    <w:p w:rsidR="00084440" w:rsidRDefault="00084440" w:rsidP="0019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0A" w:rsidRPr="004C1C49" w:rsidRDefault="0019620A" w:rsidP="004C1C49">
    <w:pPr>
      <w:pStyle w:val="Encabezado"/>
      <w:jc w:val="both"/>
      <w:rPr>
        <w:rFonts w:ascii="Book Antiqua" w:hAnsi="Book Antiqua"/>
        <w:color w:val="FF0000"/>
      </w:rPr>
    </w:pPr>
    <w:r w:rsidRPr="004C1C49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4C1C49">
      <w:rPr>
        <w:rFonts w:ascii="Book Antiqua" w:hAnsi="Book Antiqua"/>
        <w:color w:val="FF000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F3"/>
    <w:rsid w:val="00084440"/>
    <w:rsid w:val="001716B2"/>
    <w:rsid w:val="0019620A"/>
    <w:rsid w:val="00383A68"/>
    <w:rsid w:val="003A7EA5"/>
    <w:rsid w:val="004C1C49"/>
    <w:rsid w:val="00506933"/>
    <w:rsid w:val="006B2AF3"/>
    <w:rsid w:val="0079035F"/>
    <w:rsid w:val="008B065F"/>
    <w:rsid w:val="00A646F8"/>
    <w:rsid w:val="00F1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F3"/>
  </w:style>
  <w:style w:type="paragraph" w:styleId="Ttulo1">
    <w:name w:val="heading 1"/>
    <w:basedOn w:val="Normal"/>
    <w:link w:val="Ttulo1Car"/>
    <w:uiPriority w:val="9"/>
    <w:qFormat/>
    <w:rsid w:val="006B2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2AF3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Cuerpodeltexto">
    <w:name w:val="Cuerpo del texto_"/>
    <w:basedOn w:val="Fuentedeprrafopredeter"/>
    <w:link w:val="Cuerpodeltexto0"/>
    <w:rsid w:val="008B065F"/>
    <w:rPr>
      <w:sz w:val="23"/>
      <w:szCs w:val="23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8B065F"/>
    <w:pPr>
      <w:shd w:val="clear" w:color="auto" w:fill="FFFFFF"/>
      <w:spacing w:before="60" w:after="360" w:line="0" w:lineRule="atLeast"/>
      <w:ind w:hanging="360"/>
    </w:pPr>
    <w:rPr>
      <w:sz w:val="23"/>
      <w:szCs w:val="23"/>
    </w:rPr>
  </w:style>
  <w:style w:type="paragraph" w:styleId="Encabezado">
    <w:name w:val="header"/>
    <w:basedOn w:val="Normal"/>
    <w:link w:val="EncabezadoCar"/>
    <w:uiPriority w:val="99"/>
    <w:unhideWhenUsed/>
    <w:rsid w:val="00196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20A"/>
  </w:style>
  <w:style w:type="paragraph" w:styleId="Piedepgina">
    <w:name w:val="footer"/>
    <w:basedOn w:val="Normal"/>
    <w:link w:val="PiedepginaCar"/>
    <w:uiPriority w:val="99"/>
    <w:unhideWhenUsed/>
    <w:rsid w:val="00196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F3"/>
  </w:style>
  <w:style w:type="paragraph" w:styleId="Ttulo1">
    <w:name w:val="heading 1"/>
    <w:basedOn w:val="Normal"/>
    <w:link w:val="Ttulo1Car"/>
    <w:uiPriority w:val="9"/>
    <w:qFormat/>
    <w:rsid w:val="006B2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2AF3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Cuerpodeltexto">
    <w:name w:val="Cuerpo del texto_"/>
    <w:basedOn w:val="Fuentedeprrafopredeter"/>
    <w:link w:val="Cuerpodeltexto0"/>
    <w:rsid w:val="008B065F"/>
    <w:rPr>
      <w:sz w:val="23"/>
      <w:szCs w:val="23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8B065F"/>
    <w:pPr>
      <w:shd w:val="clear" w:color="auto" w:fill="FFFFFF"/>
      <w:spacing w:before="60" w:after="360" w:line="0" w:lineRule="atLeast"/>
      <w:ind w:hanging="360"/>
    </w:pPr>
    <w:rPr>
      <w:sz w:val="23"/>
      <w:szCs w:val="23"/>
    </w:rPr>
  </w:style>
  <w:style w:type="paragraph" w:styleId="Encabezado">
    <w:name w:val="header"/>
    <w:basedOn w:val="Normal"/>
    <w:link w:val="EncabezadoCar"/>
    <w:uiPriority w:val="99"/>
    <w:unhideWhenUsed/>
    <w:rsid w:val="00196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20A"/>
  </w:style>
  <w:style w:type="paragraph" w:styleId="Piedepgina">
    <w:name w:val="footer"/>
    <w:basedOn w:val="Normal"/>
    <w:link w:val="PiedepginaCar"/>
    <w:uiPriority w:val="99"/>
    <w:unhideWhenUsed/>
    <w:rsid w:val="001962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F27B-CC2E-4A98-B313-DE68AF65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2018-04-17T20:59:00Z</cp:lastPrinted>
  <dcterms:created xsi:type="dcterms:W3CDTF">2018-04-17T18:03:00Z</dcterms:created>
  <dcterms:modified xsi:type="dcterms:W3CDTF">2018-06-19T15:47:00Z</dcterms:modified>
</cp:coreProperties>
</file>