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8D6E56" w:rsidRPr="00F14415" w:rsidTr="00AD5CB5">
        <w:tc>
          <w:tcPr>
            <w:tcW w:w="2881" w:type="dxa"/>
            <w:hideMark/>
          </w:tcPr>
          <w:p w:rsidR="008D6E56" w:rsidRPr="00F14415" w:rsidRDefault="008D6E56" w:rsidP="00AD5CB5">
            <w:pPr>
              <w:rPr>
                <w:rFonts w:cs="Times New Roman"/>
                <w:sz w:val="24"/>
              </w:rPr>
            </w:pPr>
          </w:p>
        </w:tc>
        <w:tc>
          <w:tcPr>
            <w:tcW w:w="2881" w:type="dxa"/>
            <w:hideMark/>
          </w:tcPr>
          <w:p w:rsidR="008D6E56" w:rsidRPr="00F14415" w:rsidRDefault="008D6E56" w:rsidP="00AD5CB5">
            <w:pPr>
              <w:spacing w:after="0" w:line="240" w:lineRule="auto"/>
              <w:rPr>
                <w:rFonts w:ascii="Times New Roman" w:eastAsia="Times New Roman" w:hAnsi="Times New Roman" w:cs="Times New Roman"/>
                <w:sz w:val="28"/>
                <w:szCs w:val="24"/>
                <w:lang w:val="es-ES" w:eastAsia="es-ES"/>
              </w:rPr>
            </w:pPr>
            <w:r w:rsidRPr="00F14415">
              <w:rPr>
                <w:noProof/>
                <w:sz w:val="24"/>
                <w:lang w:eastAsia="es-SV"/>
              </w:rPr>
              <w:drawing>
                <wp:anchor distT="0" distB="0" distL="114300" distR="114300" simplePos="0" relativeHeight="251659264" behindDoc="0" locked="0" layoutInCell="1" allowOverlap="1" wp14:anchorId="4B17FB95" wp14:editId="721B4F07">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8D6E56" w:rsidRPr="00F14415" w:rsidRDefault="008D6E56" w:rsidP="00AD5CB5">
            <w:pPr>
              <w:spacing w:after="0"/>
              <w:rPr>
                <w:rFonts w:cs="Times New Roman"/>
                <w:sz w:val="24"/>
              </w:rPr>
            </w:pPr>
          </w:p>
        </w:tc>
      </w:tr>
      <w:tr w:rsidR="008D6E56" w:rsidRPr="00F14415" w:rsidTr="00AD5CB5">
        <w:tc>
          <w:tcPr>
            <w:tcW w:w="8644" w:type="dxa"/>
            <w:gridSpan w:val="3"/>
            <w:hideMark/>
          </w:tcPr>
          <w:p w:rsidR="008D6E56" w:rsidRPr="00F14415" w:rsidRDefault="008D6E56" w:rsidP="00AD5CB5">
            <w:pPr>
              <w:spacing w:after="0" w:line="240" w:lineRule="auto"/>
              <w:ind w:right="-361"/>
              <w:jc w:val="center"/>
              <w:rPr>
                <w:rFonts w:ascii="Palatino Linotype" w:eastAsia="Times New Roman" w:hAnsi="Palatino Linotype" w:cs="Times New Roman"/>
                <w:b/>
                <w:noProof/>
                <w:szCs w:val="21"/>
                <w:lang w:val="es-ES" w:eastAsia="es-ES"/>
              </w:rPr>
            </w:pPr>
            <w:r w:rsidRPr="00F14415">
              <w:rPr>
                <w:rFonts w:ascii="Palatino Linotype" w:eastAsia="Times New Roman" w:hAnsi="Palatino Linotype" w:cs="Times New Roman"/>
                <w:b/>
                <w:noProof/>
                <w:szCs w:val="21"/>
                <w:lang w:val="es-ES" w:eastAsia="es-ES"/>
              </w:rPr>
              <w:t>MINISTERIO DE GOBERNACIÓN Y DESARROLLO TERRITORIAL</w:t>
            </w:r>
          </w:p>
          <w:p w:rsidR="008D6E56" w:rsidRDefault="008D6E56" w:rsidP="00AD5CB5">
            <w:pPr>
              <w:spacing w:after="0" w:line="240" w:lineRule="auto"/>
              <w:jc w:val="center"/>
              <w:rPr>
                <w:rFonts w:ascii="Palatino Linotype" w:eastAsia="Times New Roman" w:hAnsi="Palatino Linotype" w:cs="Times New Roman"/>
                <w:b/>
                <w:noProof/>
                <w:szCs w:val="21"/>
                <w:lang w:val="es-ES" w:eastAsia="es-ES"/>
              </w:rPr>
            </w:pPr>
            <w:r w:rsidRPr="00F14415">
              <w:rPr>
                <w:rFonts w:ascii="Palatino Linotype" w:eastAsia="Times New Roman" w:hAnsi="Palatino Linotype" w:cs="Times New Roman"/>
                <w:b/>
                <w:noProof/>
                <w:szCs w:val="21"/>
                <w:lang w:val="es-ES" w:eastAsia="es-ES"/>
              </w:rPr>
              <w:t>REPÚBLICA DE EL SALVADOR, AMÉRICA CENTRAL</w:t>
            </w:r>
          </w:p>
          <w:p w:rsidR="00C3369A" w:rsidRPr="00F14415" w:rsidRDefault="00C3369A" w:rsidP="00AD5CB5">
            <w:pPr>
              <w:spacing w:after="0" w:line="240" w:lineRule="auto"/>
              <w:jc w:val="center"/>
              <w:rPr>
                <w:rFonts w:ascii="Times New Roman" w:eastAsia="Times New Roman" w:hAnsi="Times New Roman" w:cs="Times New Roman"/>
                <w:noProof/>
                <w:szCs w:val="21"/>
                <w:lang w:val="es-ES" w:eastAsia="es-ES"/>
              </w:rPr>
            </w:pPr>
          </w:p>
        </w:tc>
      </w:tr>
    </w:tbl>
    <w:p w:rsidR="00C3369A" w:rsidRDefault="008D6E56" w:rsidP="008D6E56">
      <w:pPr>
        <w:jc w:val="both"/>
        <w:rPr>
          <w:rFonts w:ascii="Palatino Linotype" w:eastAsia="Times New Roman" w:hAnsi="Palatino Linotype" w:cs="Times New Roman"/>
          <w:sz w:val="20"/>
          <w:szCs w:val="20"/>
          <w:lang w:val="es-ES" w:eastAsia="es-ES"/>
        </w:rPr>
      </w:pPr>
      <w:r w:rsidRPr="00007A1B">
        <w:rPr>
          <w:rFonts w:ascii="Palatino Linotype" w:eastAsia="Times New Roman" w:hAnsi="Palatino Linotype" w:cs="Times New Roman"/>
          <w:b/>
          <w:sz w:val="20"/>
          <w:szCs w:val="20"/>
          <w:lang w:val="es-ES" w:eastAsia="es-ES"/>
        </w:rPr>
        <w:t xml:space="preserve">RESOLUCIÓN NÚMERO CUARENTA Y OCHO, NÚMERO CORRELATIVO </w:t>
      </w:r>
      <w:r w:rsidRPr="00007A1B">
        <w:rPr>
          <w:rFonts w:ascii="Palatino Linotype" w:hAnsi="Palatino Linotype" w:cs="Times New Roman"/>
          <w:b/>
          <w:sz w:val="20"/>
          <w:szCs w:val="20"/>
        </w:rPr>
        <w:t>MIGOBDT-2018-0047</w:t>
      </w:r>
      <w:r w:rsidRPr="00007A1B">
        <w:rPr>
          <w:rFonts w:ascii="Palatino Linotype" w:eastAsia="Times New Roman" w:hAnsi="Palatino Linotype" w:cs="Times New Roman"/>
          <w:b/>
          <w:sz w:val="20"/>
          <w:szCs w:val="20"/>
          <w:lang w:val="es-ES" w:eastAsia="es-ES"/>
        </w:rPr>
        <w:t xml:space="preserve">. UNIDAD DE ACCESO A LA INFORMACIÓN DEL MINISTERIO DE GOBERNACIÓN Y DESARROLLO TERRITORIAL. </w:t>
      </w:r>
      <w:r w:rsidRPr="00007A1B">
        <w:rPr>
          <w:rFonts w:ascii="Palatino Linotype" w:eastAsia="Times New Roman" w:hAnsi="Palatino Linotype" w:cs="Times New Roman"/>
          <w:sz w:val="20"/>
          <w:szCs w:val="20"/>
          <w:lang w:val="es-ES" w:eastAsia="es-ES"/>
        </w:rPr>
        <w:t xml:space="preserve">San Salvador, a las nueve horas con cincuenta minutos del día </w:t>
      </w:r>
      <w:r w:rsidR="007E66B1" w:rsidRPr="00007A1B">
        <w:rPr>
          <w:rFonts w:ascii="Palatino Linotype" w:eastAsia="Times New Roman" w:hAnsi="Palatino Linotype" w:cs="Times New Roman"/>
          <w:sz w:val="20"/>
          <w:szCs w:val="20"/>
          <w:lang w:val="es-ES" w:eastAsia="es-ES"/>
        </w:rPr>
        <w:t>cinco de abril</w:t>
      </w:r>
      <w:r w:rsidRPr="00007A1B">
        <w:rPr>
          <w:rFonts w:ascii="Palatino Linotype" w:eastAsia="Times New Roman" w:hAnsi="Palatino Linotype" w:cs="Times New Roman"/>
          <w:sz w:val="20"/>
          <w:szCs w:val="20"/>
          <w:lang w:val="es-ES" w:eastAsia="es-ES"/>
        </w:rPr>
        <w:t xml:space="preserve"> de dos mil dieciocho. </w:t>
      </w:r>
      <w:r w:rsidRPr="00007A1B">
        <w:rPr>
          <w:rFonts w:ascii="Palatino Linotype" w:eastAsia="Times New Roman" w:hAnsi="Palatino Linotype" w:cs="Times New Roman"/>
          <w:b/>
          <w:sz w:val="20"/>
          <w:szCs w:val="20"/>
          <w:lang w:val="es-ES" w:eastAsia="es-ES"/>
        </w:rPr>
        <w:t>CONSIDERANDO:</w:t>
      </w:r>
      <w:r w:rsidRPr="00007A1B">
        <w:rPr>
          <w:rFonts w:ascii="Palatino Linotype" w:eastAsia="Times New Roman" w:hAnsi="Palatino Linotype" w:cs="Times New Roman"/>
          <w:sz w:val="20"/>
          <w:szCs w:val="20"/>
          <w:lang w:val="es-ES" w:eastAsia="es-ES"/>
        </w:rPr>
        <w:t xml:space="preserve"> </w:t>
      </w:r>
      <w:r w:rsidRPr="00007A1B">
        <w:rPr>
          <w:rFonts w:ascii="Palatino Linotype" w:eastAsia="Times New Roman" w:hAnsi="Palatino Linotype" w:cs="Times New Roman"/>
          <w:b/>
          <w:sz w:val="20"/>
          <w:szCs w:val="20"/>
          <w:lang w:val="es-ES" w:eastAsia="es-ES"/>
        </w:rPr>
        <w:t>I.</w:t>
      </w:r>
      <w:r w:rsidRPr="00007A1B">
        <w:rPr>
          <w:rFonts w:ascii="Palatino Linotype" w:eastAsia="Times New Roman" w:hAnsi="Palatino Linotype" w:cs="Times New Roman"/>
          <w:sz w:val="20"/>
          <w:szCs w:val="20"/>
          <w:lang w:val="es-ES" w:eastAsia="es-ES"/>
        </w:rPr>
        <w:t xml:space="preserve"> Que habién</w:t>
      </w:r>
      <w:r w:rsidR="000F3E0E" w:rsidRPr="00007A1B">
        <w:rPr>
          <w:rFonts w:ascii="Palatino Linotype" w:eastAsia="Times New Roman" w:hAnsi="Palatino Linotype" w:cs="Times New Roman"/>
          <w:sz w:val="20"/>
          <w:szCs w:val="20"/>
          <w:lang w:val="es-ES" w:eastAsia="es-ES"/>
        </w:rPr>
        <w:t xml:space="preserve">dose presentado solicitud a la </w:t>
      </w:r>
      <w:r w:rsidRPr="00007A1B">
        <w:rPr>
          <w:rFonts w:ascii="Palatino Linotype" w:eastAsia="Times New Roman" w:hAnsi="Palatino Linotype" w:cs="Times New Roman"/>
          <w:sz w:val="20"/>
          <w:szCs w:val="20"/>
          <w:lang w:val="es-ES" w:eastAsia="es-ES"/>
        </w:rPr>
        <w:t>Unida</w:t>
      </w:r>
      <w:r w:rsidR="007E66B1" w:rsidRPr="00007A1B">
        <w:rPr>
          <w:rFonts w:ascii="Palatino Linotype" w:eastAsia="Times New Roman" w:hAnsi="Palatino Linotype" w:cs="Times New Roman"/>
          <w:sz w:val="20"/>
          <w:szCs w:val="20"/>
          <w:lang w:val="es-ES" w:eastAsia="es-ES"/>
        </w:rPr>
        <w:t xml:space="preserve">d de Acceso a la Información </w:t>
      </w:r>
      <w:r w:rsidRPr="00007A1B">
        <w:rPr>
          <w:rFonts w:ascii="Palatino Linotype" w:eastAsia="Times New Roman" w:hAnsi="Palatino Linotype" w:cs="Times New Roman"/>
          <w:sz w:val="20"/>
          <w:szCs w:val="20"/>
          <w:lang w:val="es-ES" w:eastAsia="es-ES"/>
        </w:rPr>
        <w:t>de esta Secretaria de Estado por:</w:t>
      </w:r>
      <w:r w:rsidR="00D24F3F">
        <w:rPr>
          <w:rFonts w:ascii="Palatino Linotype" w:eastAsia="Times New Roman" w:hAnsi="Palatino Linotype" w:cs="Times New Roman"/>
          <w:sz w:val="20"/>
          <w:szCs w:val="20"/>
          <w:lang w:val="es-ES" w:eastAsia="es-ES"/>
        </w:rPr>
        <w:t xml:space="preserve"> </w:t>
      </w:r>
      <w:r w:rsidR="000139CF">
        <w:rPr>
          <w:rFonts w:ascii="Palatino Linotype" w:hAnsi="Palatino Linotype"/>
          <w:sz w:val="20"/>
          <w:szCs w:val="20"/>
          <w:lang w:val="es-ES"/>
        </w:rPr>
        <w:t>------------</w:t>
      </w:r>
      <w:r w:rsidR="00D24F3F">
        <w:rPr>
          <w:rFonts w:ascii="Palatino Linotype" w:hAnsi="Palatino Linotype"/>
          <w:sz w:val="20"/>
          <w:szCs w:val="20"/>
          <w:lang w:val="es-ES"/>
        </w:rPr>
        <w:t>-------------------------</w:t>
      </w:r>
      <w:bookmarkStart w:id="0" w:name="_GoBack"/>
      <w:bookmarkEnd w:id="0"/>
      <w:r w:rsidRPr="00007A1B">
        <w:rPr>
          <w:rFonts w:ascii="Palatino Linotype" w:hAnsi="Palatino Linotype" w:cs="Times New Roman"/>
          <w:b/>
          <w:sz w:val="20"/>
          <w:szCs w:val="20"/>
        </w:rPr>
        <w:t xml:space="preserve">, </w:t>
      </w:r>
      <w:r w:rsidRPr="00007A1B">
        <w:rPr>
          <w:rFonts w:ascii="Palatino Linotype" w:hAnsi="Palatino Linotype" w:cs="Times New Roman"/>
          <w:sz w:val="20"/>
          <w:szCs w:val="20"/>
        </w:rPr>
        <w:t xml:space="preserve">el día 23 de marzo </w:t>
      </w:r>
      <w:r w:rsidRPr="00007A1B">
        <w:rPr>
          <w:rFonts w:ascii="Palatino Linotype" w:eastAsia="Times New Roman" w:hAnsi="Palatino Linotype" w:cs="Times New Roman"/>
          <w:bCs/>
          <w:sz w:val="20"/>
          <w:szCs w:val="20"/>
          <w:lang w:val="es-ES" w:eastAsia="es-ES"/>
        </w:rPr>
        <w:t>del año 2018</w:t>
      </w:r>
      <w:r w:rsidRPr="00007A1B">
        <w:rPr>
          <w:rFonts w:ascii="Palatino Linotype" w:eastAsia="Times New Roman" w:hAnsi="Palatino Linotype" w:cs="Times New Roman"/>
          <w:sz w:val="20"/>
          <w:szCs w:val="20"/>
          <w:lang w:val="es-ES" w:eastAsia="es-ES"/>
        </w:rPr>
        <w:t>. En la cual requiere:</w:t>
      </w:r>
      <w:r w:rsidRPr="00007A1B">
        <w:rPr>
          <w:rFonts w:ascii="Palatino Linotype" w:eastAsia="Times New Roman" w:hAnsi="Palatino Linotype" w:cs="Times New Roman"/>
          <w:sz w:val="20"/>
          <w:szCs w:val="20"/>
          <w:lang w:eastAsia="es-ES"/>
        </w:rPr>
        <w:t xml:space="preserve"> “Copia simple del acta o escritura de constitución de los Estatutos y puntos de acta que comprueben la representación legal vigente y cualquier otro documento escrito relacionado con la Fundación Transparencia.” </w:t>
      </w:r>
      <w:r w:rsidRPr="00007A1B">
        <w:rPr>
          <w:rFonts w:ascii="Palatino Linotype" w:eastAsia="Times New Roman" w:hAnsi="Palatino Linotype" w:cs="Times New Roman"/>
          <w:b/>
          <w:sz w:val="20"/>
          <w:szCs w:val="20"/>
          <w:lang w:eastAsia="es-ES"/>
        </w:rPr>
        <w:t>II</w:t>
      </w:r>
      <w:r w:rsidRPr="00007A1B">
        <w:rPr>
          <w:rFonts w:ascii="Palatino Linotype" w:eastAsia="Times New Roman" w:hAnsi="Palatino Linotype" w:cs="Times New Roman"/>
          <w:sz w:val="20"/>
          <w:szCs w:val="20"/>
          <w:lang w:eastAsia="es-ES"/>
        </w:rPr>
        <w:t xml:space="preserve">. </w:t>
      </w:r>
      <w:r w:rsidRPr="00007A1B">
        <w:rPr>
          <w:rFonts w:ascii="Palatino Linotype" w:eastAsia="Times New Roman" w:hAnsi="Palatino Linotype" w:cs="Times New Roman"/>
          <w:sz w:val="20"/>
          <w:szCs w:val="20"/>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007A1B">
        <w:rPr>
          <w:rFonts w:ascii="Palatino Linotype" w:eastAsia="Times New Roman" w:hAnsi="Palatino Linotype" w:cs="Times New Roman"/>
          <w:sz w:val="20"/>
          <w:szCs w:val="20"/>
          <w:lang w:eastAsia="es-ES"/>
        </w:rPr>
        <w:t xml:space="preserve"> </w:t>
      </w:r>
      <w:r w:rsidRPr="00007A1B">
        <w:rPr>
          <w:rFonts w:ascii="Palatino Linotype" w:eastAsia="Times New Roman" w:hAnsi="Palatino Linotype" w:cs="Times New Roman"/>
          <w:b/>
          <w:sz w:val="20"/>
          <w:szCs w:val="20"/>
          <w:lang w:eastAsia="es-ES"/>
        </w:rPr>
        <w:t>III.</w:t>
      </w:r>
      <w:r w:rsidRPr="00007A1B">
        <w:rPr>
          <w:rFonts w:ascii="Palatino Linotype" w:eastAsia="Times New Roman" w:hAnsi="Palatino Linotype" w:cs="Times New Roman"/>
          <w:sz w:val="20"/>
          <w:szCs w:val="20"/>
          <w:lang w:eastAsia="es-ES"/>
        </w:rPr>
        <w:t xml:space="preserve"> Conforme artículo 70 de la LAIP, se trasladó la solicitud al Registro de Asociaciones y Fundaciones Sin Fines de Lucro, remitiendo </w:t>
      </w:r>
      <w:r w:rsidRPr="00007A1B">
        <w:rPr>
          <w:rFonts w:ascii="Palatino Linotype" w:eastAsia="Times New Roman" w:hAnsi="Palatino Linotype" w:cs="Times New Roman"/>
          <w:i/>
          <w:sz w:val="20"/>
          <w:szCs w:val="20"/>
          <w:lang w:eastAsia="es-ES"/>
        </w:rPr>
        <w:t>“copia simple de la inscripción de la referida entidad, la cual contiene la escritura de constitución y estatutos. Así mismo la junta directiva se encuentra electa en la escritura de constitución para un periodo de cinco años.”</w:t>
      </w:r>
      <w:r w:rsidR="00C3369A" w:rsidRPr="00007A1B">
        <w:rPr>
          <w:rFonts w:ascii="Palatino Linotype" w:eastAsia="Times New Roman" w:hAnsi="Palatino Linotype" w:cs="Times New Roman"/>
          <w:i/>
          <w:sz w:val="20"/>
          <w:szCs w:val="20"/>
          <w:lang w:eastAsia="es-ES"/>
        </w:rPr>
        <w:t xml:space="preserve">, </w:t>
      </w:r>
      <w:r w:rsidR="00C3369A" w:rsidRPr="00007A1B">
        <w:rPr>
          <w:rFonts w:ascii="Palatino Linotype" w:eastAsia="Times New Roman" w:hAnsi="Palatino Linotype" w:cs="Times New Roman"/>
          <w:sz w:val="20"/>
          <w:szCs w:val="20"/>
          <w:lang w:eastAsia="es-ES"/>
        </w:rPr>
        <w:t xml:space="preserve">cabe mencionar que la referida unidad administrativa remite versión pública de la relacionada información, siendo protegida la información que se considera confidencial como números de documentos de identidad de las personas mencionadas en la documentación, en virtud del Art. 6 </w:t>
      </w:r>
      <w:r w:rsidR="00EE1D40" w:rsidRPr="00007A1B">
        <w:rPr>
          <w:rFonts w:ascii="Palatino Linotype" w:eastAsia="Times New Roman" w:hAnsi="Palatino Linotype" w:cs="Times New Roman"/>
          <w:sz w:val="20"/>
          <w:szCs w:val="20"/>
          <w:lang w:eastAsia="es-ES"/>
        </w:rPr>
        <w:t xml:space="preserve">letra a), 24 y 30 de la Ley de Acceso a la Información Pública. </w:t>
      </w:r>
      <w:r w:rsidRPr="00007A1B">
        <w:rPr>
          <w:rFonts w:ascii="Palatino Linotype" w:eastAsia="Times New Roman" w:hAnsi="Palatino Linotype" w:cs="Times New Roman"/>
          <w:b/>
          <w:sz w:val="20"/>
          <w:szCs w:val="20"/>
          <w:lang w:val="es-ES" w:eastAsia="es-ES"/>
        </w:rPr>
        <w:t xml:space="preserve">POR TANTO, </w:t>
      </w:r>
      <w:r w:rsidRPr="00007A1B">
        <w:rPr>
          <w:rFonts w:ascii="Palatino Linotype" w:eastAsia="Times New Roman" w:hAnsi="Palatino Linotype" w:cs="Times New Roman"/>
          <w:sz w:val="20"/>
          <w:szCs w:val="20"/>
          <w:lang w:val="es-ES" w:eastAsia="es-ES"/>
        </w:rPr>
        <w:t>conforme a los Art. 86 inc. 3</w:t>
      </w:r>
      <w:r w:rsidR="000F3E0E" w:rsidRPr="00007A1B">
        <w:rPr>
          <w:rFonts w:ascii="Palatino Linotype" w:eastAsia="Times New Roman" w:hAnsi="Palatino Linotype" w:cs="Times New Roman"/>
          <w:sz w:val="20"/>
          <w:szCs w:val="20"/>
          <w:lang w:val="es-ES" w:eastAsia="es-ES"/>
        </w:rPr>
        <w:t>°</w:t>
      </w:r>
      <w:r w:rsidRPr="00007A1B">
        <w:rPr>
          <w:rFonts w:ascii="Palatino Linotype" w:eastAsia="Times New Roman" w:hAnsi="Palatino Linotype" w:cs="Times New Roman"/>
          <w:sz w:val="20"/>
          <w:szCs w:val="20"/>
          <w:lang w:val="es-ES" w:eastAsia="es-ES"/>
        </w:rPr>
        <w:t xml:space="preserve"> de la Constitución, y en base al derecho que le asiste a la solicitante enunciado en el Art. 2 y Arts. 7, 9, 50, 62 y 72 de la Ley de Acceso a la Información Pública, esta dependencia</w:t>
      </w:r>
      <w:r w:rsidRPr="00007A1B">
        <w:rPr>
          <w:rFonts w:ascii="Palatino Linotype" w:eastAsia="Times New Roman" w:hAnsi="Palatino Linotype" w:cs="Times New Roman"/>
          <w:b/>
          <w:sz w:val="20"/>
          <w:szCs w:val="20"/>
          <w:lang w:val="es-ES" w:eastAsia="es-ES"/>
        </w:rPr>
        <w:t>, RESUELVE: 1° CONCEDER</w:t>
      </w:r>
      <w:r w:rsidRPr="00007A1B">
        <w:rPr>
          <w:rFonts w:ascii="Palatino Linotype" w:eastAsia="Times New Roman" w:hAnsi="Palatino Linotype" w:cs="Times New Roman"/>
          <w:sz w:val="20"/>
          <w:szCs w:val="20"/>
          <w:lang w:val="es-ES" w:eastAsia="es-ES"/>
        </w:rPr>
        <w:t xml:space="preserve"> el acceso a la información solicitada. </w:t>
      </w:r>
      <w:r w:rsidRPr="00007A1B">
        <w:rPr>
          <w:rFonts w:ascii="Palatino Linotype" w:eastAsia="Times New Roman" w:hAnsi="Palatino Linotype" w:cs="Times New Roman"/>
          <w:b/>
          <w:sz w:val="20"/>
          <w:szCs w:val="20"/>
          <w:lang w:val="es-ES" w:eastAsia="es-ES"/>
        </w:rPr>
        <w:t>2°</w:t>
      </w:r>
      <w:r w:rsidRPr="00007A1B">
        <w:rPr>
          <w:rFonts w:ascii="Palatino Linotype" w:eastAsia="Times New Roman" w:hAnsi="Palatino Linotype" w:cs="Times New Roman"/>
          <w:sz w:val="20"/>
          <w:szCs w:val="20"/>
          <w:lang w:val="es-ES" w:eastAsia="es-ES"/>
        </w:rPr>
        <w:t xml:space="preserve"> </w:t>
      </w:r>
      <w:r w:rsidR="00007A1B">
        <w:rPr>
          <w:rFonts w:ascii="Palatino Linotype" w:eastAsia="Times New Roman" w:hAnsi="Palatino Linotype" w:cs="Times New Roman"/>
          <w:sz w:val="20"/>
          <w:szCs w:val="20"/>
          <w:lang w:val="es-ES" w:eastAsia="es-ES"/>
        </w:rPr>
        <w:t xml:space="preserve">Entréguese la información en su versión pública. </w:t>
      </w:r>
      <w:r w:rsidR="00007A1B" w:rsidRPr="00007A1B">
        <w:rPr>
          <w:rFonts w:ascii="Palatino Linotype" w:eastAsia="Times New Roman" w:hAnsi="Palatino Linotype" w:cs="Times New Roman"/>
          <w:b/>
          <w:sz w:val="20"/>
          <w:szCs w:val="20"/>
          <w:lang w:val="es-ES" w:eastAsia="es-ES"/>
        </w:rPr>
        <w:t>3°</w:t>
      </w:r>
      <w:r w:rsidR="00007A1B">
        <w:rPr>
          <w:rFonts w:ascii="Palatino Linotype" w:eastAsia="Times New Roman" w:hAnsi="Palatino Linotype" w:cs="Times New Roman"/>
          <w:sz w:val="20"/>
          <w:szCs w:val="20"/>
          <w:lang w:val="es-ES" w:eastAsia="es-ES"/>
        </w:rPr>
        <w:t xml:space="preserve"> </w:t>
      </w:r>
      <w:r w:rsidRPr="00007A1B">
        <w:rPr>
          <w:rFonts w:ascii="Palatino Linotype" w:eastAsia="Times New Roman" w:hAnsi="Palatino Linotype" w:cs="Times New Roman"/>
          <w:sz w:val="20"/>
          <w:szCs w:val="20"/>
          <w:lang w:val="es-ES" w:eastAsia="es-ES"/>
        </w:rPr>
        <w:t xml:space="preserve">Remítase la presente por medio señalada para tal efecto. </w:t>
      </w:r>
      <w:r w:rsidRPr="00007A1B">
        <w:rPr>
          <w:rFonts w:ascii="Palatino Linotype" w:eastAsia="Times New Roman" w:hAnsi="Palatino Linotype" w:cs="Times New Roman"/>
          <w:b/>
          <w:sz w:val="20"/>
          <w:szCs w:val="20"/>
          <w:lang w:val="es-ES" w:eastAsia="es-ES"/>
        </w:rPr>
        <w:t>NOTIFÍQUESE</w:t>
      </w:r>
      <w:r w:rsidRPr="00007A1B">
        <w:rPr>
          <w:rFonts w:ascii="Palatino Linotype" w:eastAsia="Times New Roman" w:hAnsi="Palatino Linotype" w:cs="Times New Roman"/>
          <w:sz w:val="20"/>
          <w:szCs w:val="20"/>
          <w:lang w:val="es-ES" w:eastAsia="es-ES"/>
        </w:rPr>
        <w:t>.</w:t>
      </w:r>
    </w:p>
    <w:p w:rsidR="00007A1B" w:rsidRDefault="00007A1B" w:rsidP="008D6E56">
      <w:pPr>
        <w:jc w:val="both"/>
        <w:rPr>
          <w:rFonts w:ascii="Palatino Linotype" w:eastAsia="Times New Roman" w:hAnsi="Palatino Linotype" w:cs="Times New Roman"/>
          <w:sz w:val="20"/>
          <w:szCs w:val="20"/>
          <w:lang w:val="es-ES" w:eastAsia="es-ES"/>
        </w:rPr>
      </w:pPr>
    </w:p>
    <w:p w:rsidR="00007A1B" w:rsidRPr="00007A1B" w:rsidRDefault="00007A1B" w:rsidP="008D6E56">
      <w:pPr>
        <w:jc w:val="both"/>
        <w:rPr>
          <w:rFonts w:ascii="Palatino Linotype" w:eastAsia="Times New Roman" w:hAnsi="Palatino Linotype" w:cs="Times New Roman"/>
          <w:sz w:val="20"/>
          <w:szCs w:val="20"/>
          <w:lang w:eastAsia="es-ES"/>
        </w:rPr>
      </w:pPr>
    </w:p>
    <w:p w:rsidR="008D6E56" w:rsidRPr="00F14415" w:rsidRDefault="008D6E56" w:rsidP="008D6E56">
      <w:pPr>
        <w:tabs>
          <w:tab w:val="left" w:pos="3418"/>
        </w:tabs>
        <w:spacing w:after="0" w:line="240" w:lineRule="auto"/>
        <w:jc w:val="center"/>
        <w:rPr>
          <w:rFonts w:ascii="Palatino Linotype" w:eastAsia="Times New Roman" w:hAnsi="Palatino Linotype" w:cs="Times New Roman"/>
          <w:b/>
          <w:szCs w:val="21"/>
          <w:lang w:val="es-ES_tradnl" w:eastAsia="es-ES_tradnl"/>
        </w:rPr>
      </w:pPr>
      <w:r w:rsidRPr="00F14415">
        <w:rPr>
          <w:rFonts w:ascii="Palatino Linotype" w:eastAsia="Times New Roman" w:hAnsi="Palatino Linotype" w:cs="Times New Roman"/>
          <w:b/>
          <w:szCs w:val="21"/>
          <w:lang w:val="es-ES_tradnl" w:eastAsia="es-ES_tradnl"/>
        </w:rPr>
        <w:t>JENNI VANESSA QUINTANILLA GARCÍA</w:t>
      </w:r>
    </w:p>
    <w:p w:rsidR="008D6E56" w:rsidRPr="00F14415" w:rsidRDefault="008D6E56" w:rsidP="008D6E56">
      <w:pPr>
        <w:spacing w:after="0" w:line="240" w:lineRule="auto"/>
        <w:jc w:val="center"/>
        <w:rPr>
          <w:rFonts w:ascii="Palatino Linotype" w:eastAsia="Times New Roman" w:hAnsi="Palatino Linotype" w:cs="Times New Roman"/>
          <w:b/>
          <w:szCs w:val="21"/>
          <w:lang w:val="es-ES_tradnl" w:eastAsia="es-ES_tradnl"/>
        </w:rPr>
      </w:pPr>
      <w:r w:rsidRPr="00F14415">
        <w:rPr>
          <w:rFonts w:ascii="Palatino Linotype" w:eastAsia="Times New Roman" w:hAnsi="Palatino Linotype" w:cs="Times New Roman"/>
          <w:b/>
          <w:szCs w:val="21"/>
          <w:lang w:val="es-ES_tradnl" w:eastAsia="es-ES_tradnl"/>
        </w:rPr>
        <w:t>OFICIAL DE INFORMACIÓN AD-HONOREM</w:t>
      </w:r>
    </w:p>
    <w:p w:rsidR="003069CB" w:rsidRPr="008D6E56" w:rsidRDefault="003069CB">
      <w:pPr>
        <w:rPr>
          <w:lang w:val="es-ES_tradnl"/>
        </w:rPr>
      </w:pPr>
    </w:p>
    <w:sectPr w:rsidR="003069CB" w:rsidRPr="008D6E56" w:rsidSect="00815FFF">
      <w:headerReference w:type="default" r:id="rId9"/>
      <w:footerReference w:type="default" r:id="rId10"/>
      <w:pgSz w:w="12240" w:h="15840"/>
      <w:pgMar w:top="1417" w:right="1701"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22C" w:rsidRDefault="00D5522C">
      <w:pPr>
        <w:spacing w:after="0" w:line="240" w:lineRule="auto"/>
      </w:pPr>
      <w:r>
        <w:separator/>
      </w:r>
    </w:p>
  </w:endnote>
  <w:endnote w:type="continuationSeparator" w:id="0">
    <w:p w:rsidR="00D5522C" w:rsidRDefault="00D5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FFF" w:rsidRPr="001E74F9" w:rsidRDefault="003030D0" w:rsidP="00815FFF">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815FFF" w:rsidRPr="001E74F9" w:rsidRDefault="003030D0" w:rsidP="00815FFF">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815FFF" w:rsidRPr="001E74F9" w:rsidRDefault="003030D0" w:rsidP="00815FFF">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815FFF" w:rsidRDefault="003030D0" w:rsidP="00815FFF">
    <w:pPr>
      <w:pStyle w:val="Piedepgina"/>
    </w:pPr>
    <w:r w:rsidRPr="00186C89">
      <w:rPr>
        <w:noProof/>
        <w:lang w:eastAsia="es-SV"/>
      </w:rPr>
      <w:drawing>
        <wp:anchor distT="0" distB="0" distL="114300" distR="114300" simplePos="0" relativeHeight="251659264" behindDoc="0" locked="0" layoutInCell="1" allowOverlap="1" wp14:anchorId="6E6A85FF" wp14:editId="07A36959">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5FFF" w:rsidRDefault="00D5522C" w:rsidP="00815FFF">
    <w:pPr>
      <w:pStyle w:val="Piedepgina"/>
    </w:pPr>
  </w:p>
  <w:p w:rsidR="00815FFF" w:rsidRDefault="00D552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22C" w:rsidRDefault="00D5522C">
      <w:pPr>
        <w:spacing w:after="0" w:line="240" w:lineRule="auto"/>
      </w:pPr>
      <w:r>
        <w:separator/>
      </w:r>
    </w:p>
  </w:footnote>
  <w:footnote w:type="continuationSeparator" w:id="0">
    <w:p w:rsidR="00D5522C" w:rsidRDefault="00D55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CF" w:rsidRDefault="000139CF" w:rsidP="00D24F3F">
    <w:pPr>
      <w:pStyle w:val="Encabezado"/>
      <w:jc w:val="both"/>
      <w:rPr>
        <w:rFonts w:ascii="Book Antiqua" w:hAnsi="Book Antiqua"/>
        <w:color w:val="FF0000"/>
      </w:rPr>
    </w:pPr>
    <w:r w:rsidRPr="00D24F3F">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D24F3F" w:rsidRPr="00D24F3F" w:rsidRDefault="00D24F3F" w:rsidP="00D24F3F">
    <w:pPr>
      <w:pStyle w:val="Encabezado"/>
      <w:jc w:val="both"/>
      <w:rPr>
        <w:rFonts w:ascii="Book Antiqua" w:hAnsi="Book Antiqua"/>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56"/>
    <w:rsid w:val="00007A1B"/>
    <w:rsid w:val="000139CF"/>
    <w:rsid w:val="000F3E0E"/>
    <w:rsid w:val="003030D0"/>
    <w:rsid w:val="003069CB"/>
    <w:rsid w:val="007D1B0F"/>
    <w:rsid w:val="007E66B1"/>
    <w:rsid w:val="008D6E56"/>
    <w:rsid w:val="00C3369A"/>
    <w:rsid w:val="00D24F3F"/>
    <w:rsid w:val="00D5522C"/>
    <w:rsid w:val="00EB1299"/>
    <w:rsid w:val="00EE1D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D6E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6E56"/>
  </w:style>
  <w:style w:type="paragraph" w:styleId="Encabezado">
    <w:name w:val="header"/>
    <w:basedOn w:val="Normal"/>
    <w:link w:val="EncabezadoCar"/>
    <w:uiPriority w:val="99"/>
    <w:unhideWhenUsed/>
    <w:rsid w:val="000139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D6E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6E56"/>
  </w:style>
  <w:style w:type="paragraph" w:styleId="Encabezado">
    <w:name w:val="header"/>
    <w:basedOn w:val="Normal"/>
    <w:link w:val="EncabezadoCar"/>
    <w:uiPriority w:val="99"/>
    <w:unhideWhenUsed/>
    <w:rsid w:val="000139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C468-68A8-4C7A-BB23-77E7979F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358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6</cp:revision>
  <cp:lastPrinted>2018-04-05T20:16:00Z</cp:lastPrinted>
  <dcterms:created xsi:type="dcterms:W3CDTF">2018-04-05T20:15:00Z</dcterms:created>
  <dcterms:modified xsi:type="dcterms:W3CDTF">2018-06-19T15:39:00Z</dcterms:modified>
</cp:coreProperties>
</file>