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B30E07" w:rsidTr="003661DD">
        <w:tc>
          <w:tcPr>
            <w:tcW w:w="2881" w:type="dxa"/>
            <w:hideMark/>
          </w:tcPr>
          <w:p w:rsidR="00B30E07" w:rsidRDefault="00B30E07" w:rsidP="003661DD">
            <w:pPr>
              <w:rPr>
                <w:rFonts w:cs="Times New Roman"/>
              </w:rPr>
            </w:pPr>
            <w:bookmarkStart w:id="0" w:name="_GoBack" w:colFirst="1" w:colLast="1"/>
          </w:p>
        </w:tc>
        <w:tc>
          <w:tcPr>
            <w:tcW w:w="2881" w:type="dxa"/>
            <w:hideMark/>
          </w:tcPr>
          <w:p w:rsidR="00B30E07" w:rsidRDefault="00B30E07" w:rsidP="00366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C95E98F" wp14:editId="6E2DDC87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B30E07" w:rsidRDefault="00B30E07" w:rsidP="003661DD">
            <w:pPr>
              <w:spacing w:after="0"/>
              <w:rPr>
                <w:rFonts w:cs="Times New Roman"/>
              </w:rPr>
            </w:pPr>
          </w:p>
        </w:tc>
      </w:tr>
      <w:tr w:rsidR="00B30E07" w:rsidRPr="00F31DAC" w:rsidTr="003661DD">
        <w:tc>
          <w:tcPr>
            <w:tcW w:w="8644" w:type="dxa"/>
            <w:gridSpan w:val="3"/>
            <w:hideMark/>
          </w:tcPr>
          <w:p w:rsidR="00B30E07" w:rsidRPr="00F31DAC" w:rsidRDefault="00B30E07" w:rsidP="003661DD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</w:pPr>
            <w:r w:rsidRPr="00F31DAC"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  <w:t>MINISTERIO DE GOBERNACIÓN Y DESARROLLO TERRITORIAL</w:t>
            </w:r>
          </w:p>
          <w:p w:rsidR="00B30E07" w:rsidRPr="00F31DAC" w:rsidRDefault="00B30E07" w:rsidP="0036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s-ES" w:eastAsia="es-ES"/>
              </w:rPr>
            </w:pPr>
            <w:r w:rsidRPr="00F31DAC">
              <w:rPr>
                <w:rFonts w:ascii="Palatino Linotype" w:eastAsia="Times New Roman" w:hAnsi="Palatino Linotype" w:cs="Times New Roman"/>
                <w:b/>
                <w:noProof/>
                <w:sz w:val="23"/>
                <w:szCs w:val="23"/>
                <w:lang w:val="es-ES" w:eastAsia="es-ES"/>
              </w:rPr>
              <w:t>REPÚBLICA DE EL SALVADOR, AMÉRICA CENTRAL</w:t>
            </w:r>
          </w:p>
        </w:tc>
      </w:tr>
      <w:bookmarkEnd w:id="0"/>
    </w:tbl>
    <w:p w:rsidR="00B30E07" w:rsidRPr="00F31DAC" w:rsidRDefault="00B30E07" w:rsidP="00B30E0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</w:pPr>
    </w:p>
    <w:p w:rsidR="00B30E07" w:rsidRPr="00484314" w:rsidRDefault="00B30E07" w:rsidP="00B30E07">
      <w:pPr>
        <w:jc w:val="both"/>
        <w:rPr>
          <w:rFonts w:ascii="Palatino Linotype" w:eastAsia="Times New Roman" w:hAnsi="Palatino Linotype" w:cs="Times New Roman"/>
          <w:sz w:val="23"/>
          <w:szCs w:val="23"/>
          <w:lang w:eastAsia="es-ES"/>
        </w:rPr>
      </w:pPr>
      <w:r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RESOLUCIÓN NÚMERO CUARENTA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, NÚMERO CORRELATIVO                        </w:t>
      </w:r>
      <w:r>
        <w:rPr>
          <w:rFonts w:ascii="Palatino Linotype" w:hAnsi="Palatino Linotype" w:cs="Times New Roman"/>
          <w:b/>
          <w:sz w:val="23"/>
          <w:szCs w:val="23"/>
        </w:rPr>
        <w:t>MIGOBDT-2018-0035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. UNIDAD DE ACCESO A LA INFORMACIÓN DEL MINISTERIO DE GOBERNACIÓN Y DESARROLLO TERRITORIAL. </w:t>
      </w:r>
      <w:r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San Salvador, a las quince horas 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del día </w:t>
      </w:r>
      <w:r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catorce de marzo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de dos mil dieciocho.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CONSIDERANDO: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I.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F31DAC">
        <w:rPr>
          <w:rFonts w:ascii="Palatino Linotype" w:hAnsi="Palatino Linotype"/>
          <w:sz w:val="23"/>
          <w:szCs w:val="23"/>
          <w:lang w:val="es-ES"/>
        </w:rPr>
        <w:t xml:space="preserve"> </w:t>
      </w:r>
      <w:r w:rsidR="009C0197">
        <w:rPr>
          <w:rFonts w:ascii="Palatino Linotype" w:hAnsi="Palatino Linotype" w:cs="Times New Roman"/>
          <w:b/>
          <w:sz w:val="23"/>
          <w:szCs w:val="23"/>
        </w:rPr>
        <w:t>---------------------------------------</w:t>
      </w:r>
      <w:r w:rsidRPr="00F31DAC">
        <w:rPr>
          <w:rFonts w:ascii="Palatino Linotype" w:hAnsi="Palatino Linotype" w:cs="Times New Roman"/>
          <w:b/>
          <w:sz w:val="23"/>
          <w:szCs w:val="23"/>
        </w:rPr>
        <w:t xml:space="preserve">, </w:t>
      </w:r>
      <w:r>
        <w:rPr>
          <w:rFonts w:ascii="Palatino Linotype" w:hAnsi="Palatino Linotype" w:cs="Times New Roman"/>
          <w:sz w:val="23"/>
          <w:szCs w:val="23"/>
        </w:rPr>
        <w:t>el día 2 de marzo</w:t>
      </w:r>
      <w:r w:rsidRPr="00F31DAC">
        <w:rPr>
          <w:rFonts w:ascii="Palatino Linotype" w:hAnsi="Palatino Linotype" w:cs="Times New Roman"/>
          <w:sz w:val="23"/>
          <w:szCs w:val="23"/>
        </w:rPr>
        <w:t xml:space="preserve"> </w:t>
      </w:r>
      <w:r w:rsidRPr="00F31DAC">
        <w:rPr>
          <w:rFonts w:ascii="Palatino Linotype" w:eastAsia="Times New Roman" w:hAnsi="Palatino Linotype" w:cs="Times New Roman"/>
          <w:bCs/>
          <w:sz w:val="23"/>
          <w:szCs w:val="23"/>
          <w:lang w:val="es-ES" w:eastAsia="es-ES"/>
        </w:rPr>
        <w:t>del año 2018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. En la cual requiere:</w:t>
      </w:r>
      <w:r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Pr="00054C2F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 xml:space="preserve">“COPIA SIMPLE DE RESOLUCIÓN EMITIDA POR EL JUZGADO TERCERO DE LO LABORAL LA CUAL DICTAMINO EL DESCUENTO PARA LA JUNTA DIRECTIVA Y SUS COMISIONES DEPARTAMENTALES DE SITRACORREOS EN EL MES DE ENERO DE 2018.”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>II</w:t>
      </w:r>
      <w:r w:rsidRPr="00F31DAC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. 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Que la referida solicitud cumple con todos los requisitos establecidos en el artículo 66 de la Ley de Acceso </w:t>
      </w:r>
      <w:r w:rsidR="00054C2F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a la Información Pública (LAIP).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>III.</w:t>
      </w:r>
      <w:r w:rsidR="00484314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="00054C2F">
        <w:rPr>
          <w:rFonts w:ascii="Palatino Linotype" w:eastAsia="Times New Roman" w:hAnsi="Palatino Linotype" w:cs="Times New Roman"/>
          <w:sz w:val="23"/>
          <w:szCs w:val="23"/>
          <w:lang w:eastAsia="es-ES"/>
        </w:rPr>
        <w:t>No obstante, e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>s oportuno expresar que el acceso a la información</w:t>
      </w:r>
      <w:r w:rsidR="00B05BAA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pública es un derecho</w:t>
      </w:r>
      <w:r w:rsidR="00291674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en el que se puede solicitar y recibir información que solamente sea generada, administrada</w:t>
      </w:r>
      <w:r w:rsidR="00911AD2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o que se encuentre en poder de las instituciones públicas según sus competencias. </w:t>
      </w:r>
      <w:r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En ese sentido, </w:t>
      </w:r>
      <w:r w:rsidR="00911AD2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el </w:t>
      </w:r>
      <w:r w:rsidR="00911AD2" w:rsidRPr="00911AD2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artículo 62 de la LAIP, </w:t>
      </w:r>
      <w:r w:rsidR="00911AD2">
        <w:rPr>
          <w:rFonts w:ascii="Palatino Linotype" w:eastAsia="Times New Roman" w:hAnsi="Palatino Linotype" w:cs="Times New Roman"/>
          <w:sz w:val="23"/>
          <w:szCs w:val="23"/>
          <w:lang w:eastAsia="es-ES"/>
        </w:rPr>
        <w:t>hace mención que</w:t>
      </w:r>
      <w:r w:rsidR="00054C2F">
        <w:rPr>
          <w:rFonts w:ascii="Palatino Linotype" w:eastAsia="Times New Roman" w:hAnsi="Palatino Linotype" w:cs="Times New Roman"/>
          <w:sz w:val="23"/>
          <w:szCs w:val="23"/>
          <w:lang w:eastAsia="es-ES"/>
        </w:rPr>
        <w:t>:</w:t>
      </w:r>
      <w:r w:rsidR="00911AD2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="00911AD2" w:rsidRPr="00911AD2">
        <w:rPr>
          <w:rFonts w:ascii="Palatino Linotype" w:eastAsia="Times New Roman" w:hAnsi="Palatino Linotype" w:cs="Times New Roman"/>
          <w:sz w:val="23"/>
          <w:szCs w:val="23"/>
          <w:lang w:eastAsia="es-ES"/>
        </w:rPr>
        <w:t>“Los entes obligados deberán entregar únicamente información que se encuentre en su poder (...)”.</w:t>
      </w:r>
      <w:r w:rsidR="005B22CB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="005B22CB" w:rsidRPr="009F40FE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>IV)</w:t>
      </w:r>
      <w:r w:rsidR="005B22CB">
        <w:rPr>
          <w:rFonts w:ascii="Palatino Linotype" w:eastAsia="Times New Roman" w:hAnsi="Palatino Linotype" w:cs="Times New Roman"/>
          <w:b/>
          <w:sz w:val="23"/>
          <w:szCs w:val="23"/>
          <w:lang w:eastAsia="es-ES"/>
        </w:rPr>
        <w:t xml:space="preserve"> </w:t>
      </w:r>
      <w:r w:rsidR="005B22CB" w:rsidRPr="009F40FE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="004F3E96" w:rsidRP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Nótese  de  ese  modo  que la  información  solicitada  en esta oportunidad no es generada, ni administrada por esta </w:t>
      </w:r>
      <w:r w:rsid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>por la Dirección General de Correos</w:t>
      </w:r>
      <w:r w:rsidR="004F3E96" w:rsidRP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>, por lo que es procedente declarar en este acto la incompetencia de esta Unidad, para dar respuesta  a lo requerido, debiendo</w:t>
      </w:r>
      <w:r w:rsidR="00381A45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en virtud del Art. 68 de la LAIP, </w:t>
      </w:r>
      <w:r w:rsidR="004F3E96" w:rsidRP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orientar</w:t>
      </w:r>
      <w:r w:rsid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="00381A45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al </w:t>
      </w:r>
      <w:r w:rsidR="004F3E96" w:rsidRP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solicitante </w:t>
      </w:r>
      <w:r w:rsidR="00381A45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para que </w:t>
      </w:r>
      <w:r w:rsidR="004F3E96" w:rsidRP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>dirija su petición ante</w:t>
      </w:r>
      <w:r w:rsid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="00054C2F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la </w:t>
      </w:r>
      <w:r w:rsidR="004F3E96">
        <w:rPr>
          <w:rFonts w:ascii="Palatino Linotype" w:eastAsia="Times New Roman" w:hAnsi="Palatino Linotype" w:cs="Times New Roman"/>
          <w:sz w:val="23"/>
          <w:szCs w:val="23"/>
          <w:lang w:eastAsia="es-ES"/>
        </w:rPr>
        <w:t>entidad competente</w:t>
      </w:r>
      <w:r w:rsidR="00054C2F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</w:t>
      </w:r>
      <w:r w:rsidR="00381A45">
        <w:rPr>
          <w:rFonts w:ascii="Palatino Linotype" w:eastAsia="Times New Roman" w:hAnsi="Palatino Linotype" w:cs="Times New Roman"/>
          <w:sz w:val="23"/>
          <w:szCs w:val="23"/>
          <w:lang w:eastAsia="es-ES"/>
        </w:rPr>
        <w:t>de</w:t>
      </w:r>
      <w:r w:rsidR="00054C2F">
        <w:rPr>
          <w:rFonts w:ascii="Palatino Linotype" w:eastAsia="Times New Roman" w:hAnsi="Palatino Linotype" w:cs="Times New Roman"/>
          <w:sz w:val="23"/>
          <w:szCs w:val="23"/>
          <w:lang w:eastAsia="es-ES"/>
        </w:rPr>
        <w:t xml:space="preserve"> dar respuesta a lo requerido, que puede ser la Unidad de Acceso a la Información Pública del Órgano  Judicial. 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POR TANTO, 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conforme a los Art. 86 inc. 3</w:t>
      </w:r>
      <w:r w:rsidR="00381A45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°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de la Constitución, y en base al derecho que le asiste a la solicitante enunciado Arts. </w:t>
      </w:r>
      <w:r w:rsidR="00381A45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2, </w:t>
      </w:r>
      <w:r w:rsidRPr="00F31DAC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7, 9, 50, 62 y 72 de la Ley de Acceso a la Información Pública, esta dependencia</w:t>
      </w: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, RESUELVE: 1</w:t>
      </w:r>
      <w:r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°</w:t>
      </w:r>
      <w:r w:rsidRPr="009F40FE">
        <w:t xml:space="preserve"> </w:t>
      </w:r>
      <w:r w:rsidR="004F3E96" w:rsidRPr="008830FD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Decl</w:t>
      </w:r>
      <w:r w:rsidR="008830FD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ararse</w:t>
      </w:r>
      <w:r w:rsidR="004F3E96" w:rsidRPr="008830FD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 la  incompetencia de  esta  UAIP  para atender  y dar  respuesta  a  la  petición relacionada  en  el  preámbulo,  por  tratarse  de</w:t>
      </w:r>
      <w:r w:rsidR="00381A45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 información  </w:t>
      </w:r>
      <w:r w:rsidR="00381A45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lastRenderedPageBreak/>
        <w:t>que es generada por un ente o</w:t>
      </w:r>
      <w:r w:rsidR="004F3E96" w:rsidRPr="008830FD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bligado</w:t>
      </w:r>
      <w:r w:rsidR="00381A45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distinto. </w:t>
      </w:r>
      <w:r w:rsidRP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>2°</w:t>
      </w:r>
      <w:r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</w:t>
      </w:r>
      <w:r w:rsidRP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HABILÍTESE </w:t>
      </w:r>
      <w:r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el derecho a recurrir conforme al Art. 82 de la Ley de Acceso a la Información.</w:t>
      </w:r>
      <w:r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 </w:t>
      </w:r>
      <w:r w:rsidRP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3° REMITASE </w:t>
      </w:r>
      <w:r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la presente por medi</w:t>
      </w:r>
      <w:r w:rsidR="00381A45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o</w:t>
      </w:r>
      <w:r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señalad</w:t>
      </w:r>
      <w:r w:rsidR="00381A45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>o</w:t>
      </w:r>
      <w:r w:rsidRPr="000C3953"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  <w:t xml:space="preserve"> para tal efecto.</w:t>
      </w:r>
      <w:r w:rsidRPr="000C3953">
        <w:rPr>
          <w:rFonts w:ascii="Palatino Linotype" w:eastAsia="Times New Roman" w:hAnsi="Palatino Linotype" w:cs="Times New Roman"/>
          <w:b/>
          <w:sz w:val="23"/>
          <w:szCs w:val="23"/>
          <w:lang w:val="es-ES" w:eastAsia="es-ES"/>
        </w:rPr>
        <w:t xml:space="preserve"> NOTIFIQUESE.</w:t>
      </w:r>
    </w:p>
    <w:p w:rsidR="00B30E07" w:rsidRDefault="00B30E07" w:rsidP="00B30E07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</w:p>
    <w:p w:rsidR="008830FD" w:rsidRDefault="008830FD" w:rsidP="00B30E07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</w:p>
    <w:p w:rsidR="00B30E07" w:rsidRPr="00F31DAC" w:rsidRDefault="00B30E07" w:rsidP="00B30E07">
      <w:pPr>
        <w:jc w:val="both"/>
        <w:rPr>
          <w:rFonts w:ascii="Palatino Linotype" w:eastAsia="Times New Roman" w:hAnsi="Palatino Linotype" w:cs="Times New Roman"/>
          <w:sz w:val="23"/>
          <w:szCs w:val="23"/>
          <w:lang w:val="es-ES" w:eastAsia="es-ES"/>
        </w:rPr>
      </w:pPr>
    </w:p>
    <w:p w:rsidR="00B30E07" w:rsidRPr="00F31DAC" w:rsidRDefault="00B30E07" w:rsidP="00B30E07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</w:pP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  <w:t>JENNI VANESSA QUINTANILLA GARCÍA</w:t>
      </w:r>
    </w:p>
    <w:p w:rsidR="00B30E07" w:rsidRPr="00F31DAC" w:rsidRDefault="00B30E07" w:rsidP="00B30E0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</w:pPr>
      <w:r w:rsidRPr="00F31DAC">
        <w:rPr>
          <w:rFonts w:ascii="Palatino Linotype" w:eastAsia="Times New Roman" w:hAnsi="Palatino Linotype" w:cs="Times New Roman"/>
          <w:b/>
          <w:sz w:val="23"/>
          <w:szCs w:val="23"/>
          <w:lang w:val="es-ES_tradnl" w:eastAsia="es-ES_tradnl"/>
        </w:rPr>
        <w:t>OFICIAL DE INFORMACIÓN AD-HONOREM</w:t>
      </w:r>
    </w:p>
    <w:p w:rsidR="00B30E07" w:rsidRPr="00006A65" w:rsidRDefault="00B30E07" w:rsidP="00B30E07">
      <w:pPr>
        <w:rPr>
          <w:lang w:val="es-ES_tradnl"/>
        </w:rPr>
      </w:pPr>
    </w:p>
    <w:p w:rsidR="00B30E07" w:rsidRPr="009F40FE" w:rsidRDefault="00B30E07" w:rsidP="00B30E07">
      <w:pPr>
        <w:rPr>
          <w:lang w:val="es-ES_tradnl"/>
        </w:rPr>
      </w:pPr>
    </w:p>
    <w:p w:rsidR="00385A3E" w:rsidRPr="00B30E07" w:rsidRDefault="00385A3E">
      <w:pPr>
        <w:rPr>
          <w:lang w:val="es-ES_tradnl"/>
        </w:rPr>
      </w:pPr>
    </w:p>
    <w:sectPr w:rsidR="00385A3E" w:rsidRPr="00B30E07" w:rsidSect="00F50FD5">
      <w:headerReference w:type="default" r:id="rId9"/>
      <w:footerReference w:type="default" r:id="rId10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E6" w:rsidRDefault="00F730E6">
      <w:pPr>
        <w:spacing w:after="0" w:line="240" w:lineRule="auto"/>
      </w:pPr>
      <w:r>
        <w:separator/>
      </w:r>
    </w:p>
  </w:endnote>
  <w:endnote w:type="continuationSeparator" w:id="0">
    <w:p w:rsidR="00F730E6" w:rsidRDefault="00F7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8830FD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8830FD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8830FD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8830FD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A7636BC" wp14:editId="341EA530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F730E6" w:rsidP="0068355C">
    <w:pPr>
      <w:pStyle w:val="Piedepgina"/>
    </w:pPr>
  </w:p>
  <w:p w:rsidR="0068355C" w:rsidRDefault="00F730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E6" w:rsidRDefault="00F730E6">
      <w:pPr>
        <w:spacing w:after="0" w:line="240" w:lineRule="auto"/>
      </w:pPr>
      <w:r>
        <w:separator/>
      </w:r>
    </w:p>
  </w:footnote>
  <w:footnote w:type="continuationSeparator" w:id="0">
    <w:p w:rsidR="00F730E6" w:rsidRDefault="00F7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C" w:rsidRPr="008F07F0" w:rsidRDefault="009C0197" w:rsidP="008F07F0">
    <w:pPr>
      <w:pStyle w:val="Encabezado"/>
      <w:jc w:val="both"/>
      <w:rPr>
        <w:rFonts w:ascii="Book Antiqua" w:hAnsi="Book Antiqua"/>
        <w:color w:val="FF0000"/>
      </w:rPr>
    </w:pPr>
    <w:r w:rsidRPr="008F07F0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8F07F0" w:rsidRDefault="008F07F0">
    <w:pPr>
      <w:pStyle w:val="Encabezado"/>
      <w:rPr>
        <w:color w:val="FF0000"/>
      </w:rPr>
    </w:pPr>
  </w:p>
  <w:p w:rsidR="008F07F0" w:rsidRPr="009C0197" w:rsidRDefault="008F07F0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07"/>
    <w:rsid w:val="00054C2F"/>
    <w:rsid w:val="001000F5"/>
    <w:rsid w:val="00291674"/>
    <w:rsid w:val="00381A45"/>
    <w:rsid w:val="00385A3E"/>
    <w:rsid w:val="00484314"/>
    <w:rsid w:val="004F3E96"/>
    <w:rsid w:val="00556E08"/>
    <w:rsid w:val="005872BD"/>
    <w:rsid w:val="005B22CB"/>
    <w:rsid w:val="005E4450"/>
    <w:rsid w:val="00620804"/>
    <w:rsid w:val="00833E9E"/>
    <w:rsid w:val="008830FD"/>
    <w:rsid w:val="008F07F0"/>
    <w:rsid w:val="00911AD2"/>
    <w:rsid w:val="009C0197"/>
    <w:rsid w:val="00A74724"/>
    <w:rsid w:val="00B05BAA"/>
    <w:rsid w:val="00B30E07"/>
    <w:rsid w:val="00F7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30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E07"/>
  </w:style>
  <w:style w:type="paragraph" w:styleId="Encabezado">
    <w:name w:val="header"/>
    <w:basedOn w:val="Normal"/>
    <w:link w:val="EncabezadoCar"/>
    <w:uiPriority w:val="99"/>
    <w:unhideWhenUsed/>
    <w:rsid w:val="00B30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30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E07"/>
  </w:style>
  <w:style w:type="paragraph" w:styleId="Encabezado">
    <w:name w:val="header"/>
    <w:basedOn w:val="Normal"/>
    <w:link w:val="EncabezadoCar"/>
    <w:uiPriority w:val="99"/>
    <w:unhideWhenUsed/>
    <w:rsid w:val="00B30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F00D-8B10-4A22-B932-5D076C0F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4</cp:revision>
  <cp:lastPrinted>2018-03-14T21:09:00Z</cp:lastPrinted>
  <dcterms:created xsi:type="dcterms:W3CDTF">2018-03-14T21:17:00Z</dcterms:created>
  <dcterms:modified xsi:type="dcterms:W3CDTF">2018-06-19T15:34:00Z</dcterms:modified>
</cp:coreProperties>
</file>