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2881"/>
        <w:gridCol w:w="3216"/>
        <w:gridCol w:w="2882"/>
      </w:tblGrid>
      <w:tr w:rsidR="00006A65" w:rsidRPr="00CA4C37" w:rsidTr="00B74323">
        <w:tc>
          <w:tcPr>
            <w:tcW w:w="2881" w:type="dxa"/>
            <w:hideMark/>
          </w:tcPr>
          <w:p w:rsidR="00006A65" w:rsidRPr="00CA4C37" w:rsidRDefault="00006A65" w:rsidP="00CA4C37">
            <w:pPr>
              <w:spacing w:after="0"/>
              <w:jc w:val="both"/>
              <w:rPr>
                <w:rFonts w:ascii="Book Antiqua" w:hAnsi="Book Antiqua" w:cs="Times New Roman"/>
                <w:sz w:val="24"/>
                <w:szCs w:val="24"/>
              </w:rPr>
            </w:pPr>
          </w:p>
        </w:tc>
        <w:tc>
          <w:tcPr>
            <w:tcW w:w="2881" w:type="dxa"/>
            <w:hideMark/>
          </w:tcPr>
          <w:p w:rsidR="00006A65" w:rsidRPr="00CA4C37" w:rsidRDefault="00006A65" w:rsidP="00CA4C37">
            <w:pPr>
              <w:spacing w:after="0"/>
              <w:jc w:val="both"/>
              <w:rPr>
                <w:rFonts w:ascii="Book Antiqua" w:eastAsia="Times New Roman" w:hAnsi="Book Antiqua" w:cs="Times New Roman"/>
                <w:sz w:val="24"/>
                <w:szCs w:val="24"/>
                <w:lang w:val="es-ES" w:eastAsia="es-ES"/>
              </w:rPr>
            </w:pPr>
            <w:r w:rsidRPr="00CA4C37">
              <w:rPr>
                <w:rFonts w:ascii="Book Antiqua" w:hAnsi="Book Antiqua" w:cs="Times New Roman"/>
                <w:noProof/>
                <w:sz w:val="24"/>
                <w:szCs w:val="24"/>
                <w:lang w:eastAsia="es-SV"/>
              </w:rPr>
              <w:drawing>
                <wp:anchor distT="0" distB="0" distL="114300" distR="114300" simplePos="0" relativeHeight="251659264" behindDoc="0" locked="0" layoutInCell="1" allowOverlap="1" wp14:anchorId="11D06774" wp14:editId="031D8FD5">
                  <wp:simplePos x="0" y="0"/>
                  <wp:positionH relativeFrom="margin">
                    <wp:posOffset>1270</wp:posOffset>
                  </wp:positionH>
                  <wp:positionV relativeFrom="margin">
                    <wp:posOffset>25400</wp:posOffset>
                  </wp:positionV>
                  <wp:extent cx="1901825" cy="1118870"/>
                  <wp:effectExtent l="0" t="0" r="3175" b="5080"/>
                  <wp:wrapSquare wrapText="bothSides"/>
                  <wp:docPr id="1" name="Imagen 1"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1825" cy="1118870"/>
                          </a:xfrm>
                          <a:prstGeom prst="rect">
                            <a:avLst/>
                          </a:prstGeom>
                          <a:noFill/>
                        </pic:spPr>
                      </pic:pic>
                    </a:graphicData>
                  </a:graphic>
                  <wp14:sizeRelH relativeFrom="page">
                    <wp14:pctWidth>0</wp14:pctWidth>
                  </wp14:sizeRelH>
                  <wp14:sizeRelV relativeFrom="page">
                    <wp14:pctHeight>0</wp14:pctHeight>
                  </wp14:sizeRelV>
                </wp:anchor>
              </w:drawing>
            </w:r>
          </w:p>
        </w:tc>
        <w:tc>
          <w:tcPr>
            <w:tcW w:w="2882" w:type="dxa"/>
            <w:hideMark/>
          </w:tcPr>
          <w:p w:rsidR="00006A65" w:rsidRPr="00CA4C37" w:rsidRDefault="00006A65" w:rsidP="00CA4C37">
            <w:pPr>
              <w:spacing w:after="0"/>
              <w:jc w:val="both"/>
              <w:rPr>
                <w:rFonts w:ascii="Book Antiqua" w:hAnsi="Book Antiqua" w:cs="Times New Roman"/>
                <w:sz w:val="24"/>
                <w:szCs w:val="24"/>
              </w:rPr>
            </w:pPr>
          </w:p>
        </w:tc>
      </w:tr>
      <w:tr w:rsidR="00006A65" w:rsidRPr="00CA4C37" w:rsidTr="00B74323">
        <w:tc>
          <w:tcPr>
            <w:tcW w:w="8644" w:type="dxa"/>
            <w:gridSpan w:val="3"/>
            <w:hideMark/>
          </w:tcPr>
          <w:p w:rsidR="00006A65" w:rsidRPr="00CA4C37" w:rsidRDefault="00006A65" w:rsidP="00CA4C37">
            <w:pPr>
              <w:spacing w:after="0"/>
              <w:ind w:right="-361"/>
              <w:jc w:val="center"/>
              <w:rPr>
                <w:rFonts w:ascii="Book Antiqua" w:eastAsia="Times New Roman" w:hAnsi="Book Antiqua" w:cs="Times New Roman"/>
                <w:b/>
                <w:noProof/>
                <w:sz w:val="24"/>
                <w:szCs w:val="24"/>
                <w:lang w:val="es-ES" w:eastAsia="es-ES"/>
              </w:rPr>
            </w:pPr>
            <w:r w:rsidRPr="00CA4C37">
              <w:rPr>
                <w:rFonts w:ascii="Book Antiqua" w:eastAsia="Times New Roman" w:hAnsi="Book Antiqua" w:cs="Times New Roman"/>
                <w:b/>
                <w:noProof/>
                <w:sz w:val="24"/>
                <w:szCs w:val="24"/>
                <w:lang w:val="es-ES" w:eastAsia="es-ES"/>
              </w:rPr>
              <w:t>MINISTERIO DE GOBERNACIÓN Y DESARROLLO TERRITORIAL</w:t>
            </w:r>
          </w:p>
          <w:p w:rsidR="00006A65" w:rsidRPr="00CA4C37" w:rsidRDefault="00006A65" w:rsidP="00CA4C37">
            <w:pPr>
              <w:spacing w:after="0"/>
              <w:jc w:val="center"/>
              <w:rPr>
                <w:rFonts w:ascii="Book Antiqua" w:eastAsia="Times New Roman" w:hAnsi="Book Antiqua" w:cs="Times New Roman"/>
                <w:noProof/>
                <w:sz w:val="24"/>
                <w:szCs w:val="24"/>
                <w:lang w:val="es-ES" w:eastAsia="es-ES"/>
              </w:rPr>
            </w:pPr>
            <w:r w:rsidRPr="00CA4C37">
              <w:rPr>
                <w:rFonts w:ascii="Book Antiqua" w:eastAsia="Times New Roman" w:hAnsi="Book Antiqua" w:cs="Times New Roman"/>
                <w:b/>
                <w:noProof/>
                <w:sz w:val="24"/>
                <w:szCs w:val="24"/>
                <w:lang w:val="es-ES" w:eastAsia="es-ES"/>
              </w:rPr>
              <w:t>REPÚBLICA DE EL SALVADOR, AMÉRICA CENTRAL</w:t>
            </w:r>
          </w:p>
        </w:tc>
      </w:tr>
    </w:tbl>
    <w:p w:rsidR="00006A65" w:rsidRPr="00CA4C37" w:rsidRDefault="00006A65" w:rsidP="00CA4C37">
      <w:pPr>
        <w:spacing w:after="0"/>
        <w:ind w:right="20"/>
        <w:jc w:val="center"/>
        <w:rPr>
          <w:rFonts w:ascii="Book Antiqua" w:eastAsia="Times New Roman" w:hAnsi="Book Antiqua" w:cs="Times New Roman"/>
          <w:b/>
          <w:sz w:val="24"/>
          <w:szCs w:val="24"/>
          <w:lang w:val="es-ES" w:eastAsia="es-ES"/>
        </w:rPr>
      </w:pPr>
    </w:p>
    <w:p w:rsidR="00287009" w:rsidRPr="00CA4C37" w:rsidRDefault="00EC51BF" w:rsidP="00CA4C37">
      <w:pPr>
        <w:spacing w:after="0"/>
        <w:jc w:val="both"/>
        <w:rPr>
          <w:rFonts w:ascii="Book Antiqua" w:eastAsia="Times New Roman" w:hAnsi="Book Antiqua" w:cs="Times New Roman"/>
          <w:sz w:val="24"/>
          <w:szCs w:val="24"/>
          <w:lang w:val="es-ES" w:eastAsia="es-ES"/>
        </w:rPr>
      </w:pPr>
      <w:r w:rsidRPr="00CA4C37">
        <w:rPr>
          <w:rFonts w:ascii="Book Antiqua" w:eastAsia="Times New Roman" w:hAnsi="Book Antiqua" w:cs="Times New Roman"/>
          <w:b/>
          <w:sz w:val="24"/>
          <w:szCs w:val="24"/>
          <w:lang w:val="es-ES" w:eastAsia="es-ES"/>
        </w:rPr>
        <w:t xml:space="preserve">RESOLUCIÓN NÚMERO VEINTICINCO, </w:t>
      </w:r>
      <w:r w:rsidR="00006A65" w:rsidRPr="00CA4C37">
        <w:rPr>
          <w:rFonts w:ascii="Book Antiqua" w:eastAsia="Times New Roman" w:hAnsi="Book Antiqua" w:cs="Times New Roman"/>
          <w:b/>
          <w:sz w:val="24"/>
          <w:szCs w:val="24"/>
          <w:lang w:val="es-ES" w:eastAsia="es-ES"/>
        </w:rPr>
        <w:t>NÚMERO COR</w:t>
      </w:r>
      <w:r w:rsidR="001E3567" w:rsidRPr="00CA4C37">
        <w:rPr>
          <w:rFonts w:ascii="Book Antiqua" w:eastAsia="Times New Roman" w:hAnsi="Book Antiqua" w:cs="Times New Roman"/>
          <w:b/>
          <w:sz w:val="24"/>
          <w:szCs w:val="24"/>
          <w:lang w:val="es-ES" w:eastAsia="es-ES"/>
        </w:rPr>
        <w:t xml:space="preserve">RELATIVO                  </w:t>
      </w:r>
      <w:r w:rsidR="00006A65" w:rsidRPr="00CA4C37">
        <w:rPr>
          <w:rFonts w:ascii="Book Antiqua" w:hAnsi="Book Antiqua" w:cs="Times New Roman"/>
          <w:b/>
          <w:sz w:val="24"/>
          <w:szCs w:val="24"/>
        </w:rPr>
        <w:t>MIGOBDT-2018-0023</w:t>
      </w:r>
      <w:r w:rsidR="00006A65" w:rsidRPr="00CA4C37">
        <w:rPr>
          <w:rFonts w:ascii="Book Antiqua" w:eastAsia="Times New Roman" w:hAnsi="Book Antiqua" w:cs="Times New Roman"/>
          <w:b/>
          <w:sz w:val="24"/>
          <w:szCs w:val="24"/>
          <w:lang w:val="es-ES" w:eastAsia="es-ES"/>
        </w:rPr>
        <w:t xml:space="preserve">. UNIDAD DE ACCESO A LA INFORMACIÓN DEL MINISTERIO DE GOBERNACIÓN Y DESARROLLO TERRITORIAL. </w:t>
      </w:r>
      <w:r w:rsidR="00006A65" w:rsidRPr="00CA4C37">
        <w:rPr>
          <w:rFonts w:ascii="Book Antiqua" w:eastAsia="Times New Roman" w:hAnsi="Book Antiqua" w:cs="Times New Roman"/>
          <w:sz w:val="24"/>
          <w:szCs w:val="24"/>
          <w:lang w:val="es-ES" w:eastAsia="es-ES"/>
        </w:rPr>
        <w:t xml:space="preserve">San Salvador, a las nueve horas con quince minutos del día veintiséis de febrero de dos mil dieciocho. </w:t>
      </w:r>
      <w:r w:rsidR="00006A65" w:rsidRPr="00CA4C37">
        <w:rPr>
          <w:rFonts w:ascii="Book Antiqua" w:eastAsia="Times New Roman" w:hAnsi="Book Antiqua" w:cs="Times New Roman"/>
          <w:b/>
          <w:sz w:val="24"/>
          <w:szCs w:val="24"/>
          <w:lang w:val="es-ES" w:eastAsia="es-ES"/>
        </w:rPr>
        <w:t>CONSIDERANDO:</w:t>
      </w:r>
      <w:r w:rsidR="00006A65" w:rsidRPr="00CA4C37">
        <w:rPr>
          <w:rFonts w:ascii="Book Antiqua" w:eastAsia="Times New Roman" w:hAnsi="Book Antiqua" w:cs="Times New Roman"/>
          <w:sz w:val="24"/>
          <w:szCs w:val="24"/>
          <w:lang w:val="es-ES" w:eastAsia="es-ES"/>
        </w:rPr>
        <w:t xml:space="preserve"> </w:t>
      </w:r>
      <w:r w:rsidR="007B3334" w:rsidRPr="00CA4C37">
        <w:rPr>
          <w:rFonts w:ascii="Book Antiqua" w:eastAsia="Times New Roman" w:hAnsi="Book Antiqua" w:cs="Times New Roman"/>
          <w:b/>
          <w:sz w:val="24"/>
          <w:szCs w:val="24"/>
          <w:lang w:val="es-ES" w:eastAsia="es-ES"/>
        </w:rPr>
        <w:t>I)</w:t>
      </w:r>
      <w:r w:rsidR="007B3334" w:rsidRPr="00CA4C37">
        <w:rPr>
          <w:rFonts w:ascii="Book Antiqua" w:eastAsia="Times New Roman" w:hAnsi="Book Antiqua" w:cs="Times New Roman"/>
          <w:sz w:val="24"/>
          <w:szCs w:val="24"/>
          <w:lang w:val="es-ES" w:eastAsia="es-ES"/>
        </w:rPr>
        <w:t xml:space="preserve"> </w:t>
      </w:r>
      <w:r w:rsidR="00006A65" w:rsidRPr="00CA4C37">
        <w:rPr>
          <w:rFonts w:ascii="Book Antiqua" w:eastAsia="Times New Roman" w:hAnsi="Book Antiqua" w:cs="Times New Roman"/>
          <w:sz w:val="24"/>
          <w:szCs w:val="24"/>
          <w:lang w:val="es-ES" w:eastAsia="es-ES"/>
        </w:rPr>
        <w:t>Que habiéndose presentado solicitud a la  Unidad de Acceso a la Información  de esta Secretaria de Estado por:</w:t>
      </w:r>
      <w:r w:rsidR="00006A65" w:rsidRPr="00CA4C37">
        <w:rPr>
          <w:rFonts w:ascii="Book Antiqua" w:hAnsi="Book Antiqua" w:cs="Times New Roman"/>
          <w:sz w:val="24"/>
          <w:szCs w:val="24"/>
          <w:lang w:val="es-ES"/>
        </w:rPr>
        <w:t xml:space="preserve"> </w:t>
      </w:r>
      <w:r w:rsidR="004E7BE1" w:rsidRPr="00CA4C37">
        <w:rPr>
          <w:rFonts w:ascii="Book Antiqua" w:hAnsi="Book Antiqua" w:cs="Times New Roman"/>
          <w:b/>
          <w:sz w:val="24"/>
          <w:szCs w:val="24"/>
        </w:rPr>
        <w:t>------------------------------------</w:t>
      </w:r>
      <w:r w:rsidR="00006A65" w:rsidRPr="00CA4C37">
        <w:rPr>
          <w:rFonts w:ascii="Book Antiqua" w:hAnsi="Book Antiqua" w:cs="Times New Roman"/>
          <w:b/>
          <w:sz w:val="24"/>
          <w:szCs w:val="24"/>
        </w:rPr>
        <w:t xml:space="preserve">, </w:t>
      </w:r>
      <w:r w:rsidR="00006A65" w:rsidRPr="00CA4C37">
        <w:rPr>
          <w:rFonts w:ascii="Book Antiqua" w:hAnsi="Book Antiqua" w:cs="Times New Roman"/>
          <w:sz w:val="24"/>
          <w:szCs w:val="24"/>
        </w:rPr>
        <w:t xml:space="preserve">el día 16 de febrero </w:t>
      </w:r>
      <w:r w:rsidR="00006A65" w:rsidRPr="00CA4C37">
        <w:rPr>
          <w:rFonts w:ascii="Book Antiqua" w:eastAsia="Times New Roman" w:hAnsi="Book Antiqua" w:cs="Times New Roman"/>
          <w:bCs/>
          <w:sz w:val="24"/>
          <w:szCs w:val="24"/>
          <w:lang w:val="es-ES" w:eastAsia="es-ES"/>
        </w:rPr>
        <w:t>del año 2018</w:t>
      </w:r>
      <w:r w:rsidR="00006A65" w:rsidRPr="00CA4C37">
        <w:rPr>
          <w:rFonts w:ascii="Book Antiqua" w:eastAsia="Times New Roman" w:hAnsi="Book Antiqua" w:cs="Times New Roman"/>
          <w:sz w:val="24"/>
          <w:szCs w:val="24"/>
          <w:lang w:val="es-ES" w:eastAsia="es-ES"/>
        </w:rPr>
        <w:t>. En la cual requiere:</w:t>
      </w:r>
      <w:r w:rsidR="00006A65" w:rsidRPr="00CA4C37">
        <w:rPr>
          <w:rFonts w:ascii="Book Antiqua" w:eastAsia="Times New Roman" w:hAnsi="Book Antiqua" w:cs="Times New Roman"/>
          <w:sz w:val="24"/>
          <w:szCs w:val="24"/>
          <w:lang w:eastAsia="es-ES"/>
        </w:rPr>
        <w:t xml:space="preserve"> “copia simple de constancia de credencial de Junta Directiva inscrita de las asociaciones: 1. Asociación de Abogados de Oriente (AAO) 2. Asociación de Abogados de</w:t>
      </w:r>
      <w:r w:rsidR="001E3567" w:rsidRPr="00CA4C37">
        <w:rPr>
          <w:rFonts w:ascii="Book Antiqua" w:eastAsia="Times New Roman" w:hAnsi="Book Antiqua" w:cs="Times New Roman"/>
          <w:sz w:val="24"/>
          <w:szCs w:val="24"/>
          <w:lang w:eastAsia="es-ES"/>
        </w:rPr>
        <w:t xml:space="preserve"> Ahuachapán (ABOGA) </w:t>
      </w:r>
      <w:r w:rsidR="00006A65" w:rsidRPr="00CA4C37">
        <w:rPr>
          <w:rFonts w:ascii="Book Antiqua" w:eastAsia="Times New Roman" w:hAnsi="Book Antiqua" w:cs="Times New Roman"/>
          <w:sz w:val="24"/>
          <w:szCs w:val="24"/>
          <w:lang w:eastAsia="es-ES"/>
        </w:rPr>
        <w:t xml:space="preserve">3. Asociación de Abogados de Sonsonate (AAS) 4. Sociedad de Abogados de Occidente (SAO) 5. Asociación de Abogados de El Salvador (AAES) 6. Asociación de Abogados de Nueva San Salvador (ANSS) 7. Circulo de Abogado Salvadoreño (CAS) 8. Centro de Estudios Jurídicos (CEJ).” </w:t>
      </w:r>
      <w:r w:rsidR="007B3334" w:rsidRPr="00CA4C37">
        <w:rPr>
          <w:rFonts w:ascii="Book Antiqua" w:eastAsia="Times New Roman" w:hAnsi="Book Antiqua" w:cs="Times New Roman"/>
          <w:b/>
          <w:sz w:val="24"/>
          <w:szCs w:val="24"/>
          <w:lang w:val="es-ES" w:eastAsia="es-ES"/>
        </w:rPr>
        <w:t>II)</w:t>
      </w:r>
      <w:r w:rsidR="007B3334" w:rsidRPr="00CA4C37">
        <w:rPr>
          <w:rFonts w:ascii="Book Antiqua" w:eastAsia="Times New Roman" w:hAnsi="Book Antiqua" w:cs="Times New Roman"/>
          <w:sz w:val="24"/>
          <w:szCs w:val="24"/>
          <w:lang w:val="es-ES" w:eastAsia="es-ES"/>
        </w:rPr>
        <w:t xml:space="preserve"> </w:t>
      </w:r>
      <w:r w:rsidR="00006A65" w:rsidRPr="00CA4C37">
        <w:rPr>
          <w:rFonts w:ascii="Book Antiqua" w:eastAsia="Times New Roman" w:hAnsi="Book Antiqua" w:cs="Times New Roman"/>
          <w:sz w:val="24"/>
          <w:szCs w:val="24"/>
          <w:lang w:val="es-ES" w:eastAsia="es-ES"/>
        </w:rPr>
        <w:t xml:space="preserve">Que la referida solicitud cumple con todos los requisitos establecidos en el artículo 66 de la Ley de Acceso a la Información Pública (LAIP) y el </w:t>
      </w:r>
      <w:r w:rsidR="00883283" w:rsidRPr="00CA4C37">
        <w:rPr>
          <w:rFonts w:ascii="Book Antiqua" w:eastAsia="Times New Roman" w:hAnsi="Book Antiqua" w:cs="Times New Roman"/>
          <w:sz w:val="24"/>
          <w:szCs w:val="24"/>
          <w:lang w:val="es-ES" w:eastAsia="es-ES"/>
        </w:rPr>
        <w:t xml:space="preserve">artículo 50 de su </w:t>
      </w:r>
      <w:r w:rsidR="00F10A0E" w:rsidRPr="00CA4C37">
        <w:rPr>
          <w:rFonts w:ascii="Book Antiqua" w:eastAsia="Times New Roman" w:hAnsi="Book Antiqua" w:cs="Times New Roman"/>
          <w:sz w:val="24"/>
          <w:szCs w:val="24"/>
          <w:lang w:val="es-ES" w:eastAsia="es-ES"/>
        </w:rPr>
        <w:t xml:space="preserve">Reglamento. </w:t>
      </w:r>
      <w:r w:rsidR="007B3334" w:rsidRPr="00CA4C37">
        <w:rPr>
          <w:rFonts w:ascii="Book Antiqua" w:eastAsia="Times New Roman" w:hAnsi="Book Antiqua" w:cs="Times New Roman"/>
          <w:b/>
          <w:sz w:val="24"/>
          <w:szCs w:val="24"/>
          <w:lang w:val="es-ES" w:eastAsia="es-ES"/>
        </w:rPr>
        <w:t>III)</w:t>
      </w:r>
      <w:r w:rsidR="007B3334" w:rsidRPr="00CA4C37">
        <w:rPr>
          <w:rFonts w:ascii="Book Antiqua" w:eastAsia="Times New Roman" w:hAnsi="Book Antiqua" w:cs="Times New Roman"/>
          <w:sz w:val="24"/>
          <w:szCs w:val="24"/>
          <w:lang w:val="es-ES" w:eastAsia="es-ES"/>
        </w:rPr>
        <w:t xml:space="preserve"> </w:t>
      </w:r>
      <w:r w:rsidR="00006A65" w:rsidRPr="00CA4C37">
        <w:rPr>
          <w:rFonts w:ascii="Book Antiqua" w:eastAsia="Times New Roman" w:hAnsi="Book Antiqua" w:cs="Times New Roman"/>
          <w:sz w:val="24"/>
          <w:szCs w:val="24"/>
          <w:lang w:eastAsia="es-ES"/>
        </w:rPr>
        <w:t xml:space="preserve">Conforme artículo 70 de la LAIP, se trasladó la solicitud al Registro de Asociaciones y Fundaciones Sin Fines de Lucro, </w:t>
      </w:r>
      <w:r w:rsidR="00F10A0E" w:rsidRPr="00CA4C37">
        <w:rPr>
          <w:rFonts w:ascii="Book Antiqua" w:eastAsia="Times New Roman" w:hAnsi="Book Antiqua" w:cs="Times New Roman"/>
          <w:sz w:val="24"/>
          <w:szCs w:val="24"/>
          <w:lang w:eastAsia="es-ES"/>
        </w:rPr>
        <w:t xml:space="preserve"> la que remite: </w:t>
      </w:r>
      <w:r w:rsidR="00006A65" w:rsidRPr="00CA4C37">
        <w:rPr>
          <w:rFonts w:ascii="Book Antiqua" w:eastAsia="Times New Roman" w:hAnsi="Book Antiqua" w:cs="Times New Roman"/>
          <w:sz w:val="24"/>
          <w:szCs w:val="24"/>
          <w:lang w:eastAsia="es-ES"/>
        </w:rPr>
        <w:t xml:space="preserve">copia simple en versión pública de las juntas directivas inscritas de la Asociación de Abogados de Oriente y Centros de estudios Jurídicos. </w:t>
      </w:r>
      <w:r w:rsidR="002E3276" w:rsidRPr="00CA4C37">
        <w:rPr>
          <w:rFonts w:ascii="Book Antiqua" w:eastAsia="Times New Roman" w:hAnsi="Book Antiqua" w:cs="Times New Roman"/>
          <w:sz w:val="24"/>
          <w:szCs w:val="24"/>
          <w:lang w:eastAsia="es-ES"/>
        </w:rPr>
        <w:t>Para el caso de Asociación de Abo</w:t>
      </w:r>
      <w:r w:rsidR="001E3567" w:rsidRPr="00CA4C37">
        <w:rPr>
          <w:rFonts w:ascii="Book Antiqua" w:eastAsia="Times New Roman" w:hAnsi="Book Antiqua" w:cs="Times New Roman"/>
          <w:sz w:val="24"/>
          <w:szCs w:val="24"/>
          <w:lang w:eastAsia="es-ES"/>
        </w:rPr>
        <w:t xml:space="preserve">gados de Ahuachapán, </w:t>
      </w:r>
      <w:r w:rsidR="002E3276" w:rsidRPr="00CA4C37">
        <w:rPr>
          <w:rFonts w:ascii="Book Antiqua" w:eastAsia="Times New Roman" w:hAnsi="Book Antiqua" w:cs="Times New Roman"/>
          <w:sz w:val="24"/>
          <w:szCs w:val="24"/>
          <w:lang w:eastAsia="es-ES"/>
        </w:rPr>
        <w:t xml:space="preserve">Sociedad de Abogados de Occidente, Asociación de Abogados de Nueva San Salvador y </w:t>
      </w:r>
      <w:r w:rsidR="00F10A0E" w:rsidRPr="00CA4C37">
        <w:rPr>
          <w:rFonts w:ascii="Book Antiqua" w:eastAsia="Times New Roman" w:hAnsi="Book Antiqua" w:cs="Times New Roman"/>
          <w:sz w:val="24"/>
          <w:szCs w:val="24"/>
          <w:lang w:eastAsia="es-ES"/>
        </w:rPr>
        <w:t>Círculo</w:t>
      </w:r>
      <w:r w:rsidR="002E3276" w:rsidRPr="00CA4C37">
        <w:rPr>
          <w:rFonts w:ascii="Book Antiqua" w:eastAsia="Times New Roman" w:hAnsi="Book Antiqua" w:cs="Times New Roman"/>
          <w:sz w:val="24"/>
          <w:szCs w:val="24"/>
          <w:lang w:eastAsia="es-ES"/>
        </w:rPr>
        <w:t xml:space="preserve"> de Abogados Salvadoreños tienen en trámite de aprobación sus nuevas juntas directivas</w:t>
      </w:r>
      <w:r w:rsidR="00F10A0E" w:rsidRPr="00CA4C37">
        <w:rPr>
          <w:rFonts w:ascii="Book Antiqua" w:eastAsia="Times New Roman" w:hAnsi="Book Antiqua" w:cs="Times New Roman"/>
          <w:sz w:val="24"/>
          <w:szCs w:val="24"/>
          <w:lang w:eastAsia="es-ES"/>
        </w:rPr>
        <w:t xml:space="preserve">. Y  a su vez informa: </w:t>
      </w:r>
      <w:r w:rsidR="00F10A0E" w:rsidRPr="00CA4C37">
        <w:rPr>
          <w:rFonts w:ascii="Book Antiqua" w:eastAsia="Times New Roman" w:hAnsi="Book Antiqua" w:cs="Times New Roman"/>
          <w:i/>
          <w:sz w:val="24"/>
          <w:szCs w:val="24"/>
          <w:lang w:eastAsia="es-ES"/>
        </w:rPr>
        <w:t xml:space="preserve">“(…) </w:t>
      </w:r>
      <w:r w:rsidR="002E3276" w:rsidRPr="00CA4C37">
        <w:rPr>
          <w:rFonts w:ascii="Book Antiqua" w:eastAsia="Times New Roman" w:hAnsi="Book Antiqua" w:cs="Times New Roman"/>
          <w:i/>
          <w:sz w:val="24"/>
          <w:szCs w:val="24"/>
          <w:lang w:eastAsia="es-ES"/>
        </w:rPr>
        <w:t>por l</w:t>
      </w:r>
      <w:r w:rsidR="001E3567" w:rsidRPr="00CA4C37">
        <w:rPr>
          <w:rFonts w:ascii="Book Antiqua" w:eastAsia="Times New Roman" w:hAnsi="Book Antiqua" w:cs="Times New Roman"/>
          <w:i/>
          <w:sz w:val="24"/>
          <w:szCs w:val="24"/>
          <w:lang w:eastAsia="es-ES"/>
        </w:rPr>
        <w:t xml:space="preserve">o que de conformidad al numeral </w:t>
      </w:r>
      <w:r w:rsidR="002E3276" w:rsidRPr="00CA4C37">
        <w:rPr>
          <w:rFonts w:ascii="Book Antiqua" w:eastAsia="Times New Roman" w:hAnsi="Book Antiqua" w:cs="Times New Roman"/>
          <w:i/>
          <w:sz w:val="24"/>
          <w:szCs w:val="24"/>
          <w:lang w:eastAsia="es-ES"/>
        </w:rPr>
        <w:t>27 del Índice de Información Reservada de Ministerio de Gobernación y Desarrollo Territorial, no se puede extender con</w:t>
      </w:r>
      <w:r w:rsidR="001E3567" w:rsidRPr="00CA4C37">
        <w:rPr>
          <w:rFonts w:ascii="Book Antiqua" w:eastAsia="Times New Roman" w:hAnsi="Book Antiqua" w:cs="Times New Roman"/>
          <w:i/>
          <w:sz w:val="24"/>
          <w:szCs w:val="24"/>
          <w:lang w:eastAsia="es-ES"/>
        </w:rPr>
        <w:t xml:space="preserve">stancia o certificación alguna. </w:t>
      </w:r>
      <w:r w:rsidR="002E3276" w:rsidRPr="00CA4C37">
        <w:rPr>
          <w:rFonts w:ascii="Book Antiqua" w:eastAsia="Times New Roman" w:hAnsi="Book Antiqua" w:cs="Times New Roman"/>
          <w:i/>
          <w:sz w:val="24"/>
          <w:szCs w:val="24"/>
          <w:lang w:eastAsia="es-ES"/>
        </w:rPr>
        <w:t>Asimismo, la Asociación de Abogados de Sonsonate y la Asociación de Abogados de El Salvador, no tienen juntas directivas presentadas.</w:t>
      </w:r>
      <w:r w:rsidR="00F10A0E" w:rsidRPr="00CA4C37">
        <w:rPr>
          <w:rFonts w:ascii="Book Antiqua" w:eastAsia="Times New Roman" w:hAnsi="Book Antiqua" w:cs="Times New Roman"/>
          <w:i/>
          <w:sz w:val="24"/>
          <w:szCs w:val="24"/>
          <w:lang w:eastAsia="es-ES"/>
        </w:rPr>
        <w:t>”</w:t>
      </w:r>
      <w:r w:rsidR="00287009" w:rsidRPr="00CA4C37">
        <w:rPr>
          <w:rFonts w:ascii="Book Antiqua" w:eastAsia="Times New Roman" w:hAnsi="Book Antiqua" w:cs="Times New Roman"/>
          <w:i/>
          <w:sz w:val="24"/>
          <w:szCs w:val="24"/>
          <w:lang w:eastAsia="es-ES"/>
        </w:rPr>
        <w:t xml:space="preserve"> </w:t>
      </w:r>
      <w:r w:rsidR="007B3334" w:rsidRPr="00CA4C37">
        <w:rPr>
          <w:rFonts w:ascii="Book Antiqua" w:eastAsia="Times New Roman" w:hAnsi="Book Antiqua" w:cs="Times New Roman"/>
          <w:b/>
          <w:sz w:val="24"/>
          <w:szCs w:val="24"/>
          <w:lang w:val="es-ES" w:eastAsia="es-ES"/>
        </w:rPr>
        <w:t xml:space="preserve">IV) </w:t>
      </w:r>
      <w:r w:rsidR="00F917A5" w:rsidRPr="00CA4C37">
        <w:rPr>
          <w:rFonts w:ascii="Book Antiqua" w:eastAsia="Times New Roman" w:hAnsi="Book Antiqua" w:cs="Times New Roman"/>
          <w:sz w:val="24"/>
          <w:szCs w:val="24"/>
          <w:lang w:eastAsia="es-ES"/>
        </w:rPr>
        <w:t xml:space="preserve">Que ante lo manifestado por la unidad administrativa, Dirección del Registro de Asociaciones y Fundaciones Sin Fines de Lucro, es oportuno expresar que el acceso a la información pública es un </w:t>
      </w:r>
      <w:r w:rsidR="00F917A5" w:rsidRPr="00CA4C37">
        <w:rPr>
          <w:rFonts w:ascii="Book Antiqua" w:eastAsia="Times New Roman" w:hAnsi="Book Antiqua" w:cs="Times New Roman"/>
          <w:sz w:val="24"/>
          <w:szCs w:val="24"/>
          <w:lang w:eastAsia="es-ES"/>
        </w:rPr>
        <w:lastRenderedPageBreak/>
        <w:t>derecho de rango constitucional aunque no se en</w:t>
      </w:r>
      <w:r w:rsidR="000305DB" w:rsidRPr="00CA4C37">
        <w:rPr>
          <w:rFonts w:ascii="Book Antiqua" w:eastAsia="Times New Roman" w:hAnsi="Book Antiqua" w:cs="Times New Roman"/>
          <w:sz w:val="24"/>
          <w:szCs w:val="24"/>
          <w:lang w:eastAsia="es-ES"/>
        </w:rPr>
        <w:t>cuentre expresamente reconocido</w:t>
      </w:r>
      <w:r w:rsidR="00F917A5" w:rsidRPr="00CA4C37">
        <w:rPr>
          <w:rFonts w:ascii="Book Antiqua" w:eastAsia="Times New Roman" w:hAnsi="Book Antiqua" w:cs="Times New Roman"/>
          <w:sz w:val="24"/>
          <w:szCs w:val="24"/>
          <w:lang w:eastAsia="es-ES"/>
        </w:rPr>
        <w:t xml:space="preserve"> </w:t>
      </w:r>
      <w:r w:rsidR="000305DB" w:rsidRPr="00CA4C37">
        <w:rPr>
          <w:rFonts w:ascii="Book Antiqua" w:eastAsia="Times New Roman" w:hAnsi="Book Antiqua" w:cs="Times New Roman"/>
          <w:sz w:val="24"/>
          <w:szCs w:val="24"/>
          <w:lang w:eastAsia="es-ES"/>
        </w:rPr>
        <w:t>en la Norma Suprema,</w:t>
      </w:r>
      <w:r w:rsidRPr="00CA4C37">
        <w:rPr>
          <w:rFonts w:ascii="Book Antiqua" w:eastAsia="Times New Roman" w:hAnsi="Book Antiqua" w:cs="Times New Roman"/>
          <w:sz w:val="24"/>
          <w:szCs w:val="24"/>
          <w:lang w:eastAsia="es-ES"/>
        </w:rPr>
        <w:t xml:space="preserve"> el que</w:t>
      </w:r>
      <w:r w:rsidR="000305DB" w:rsidRPr="00CA4C37">
        <w:rPr>
          <w:rFonts w:ascii="Book Antiqua" w:eastAsia="Times New Roman" w:hAnsi="Book Antiqua" w:cs="Times New Roman"/>
          <w:sz w:val="24"/>
          <w:szCs w:val="24"/>
          <w:lang w:eastAsia="es-ES"/>
        </w:rPr>
        <w:t xml:space="preserve"> tiene </w:t>
      </w:r>
      <w:r w:rsidR="000305DB" w:rsidRPr="00CA4C37">
        <w:rPr>
          <w:rFonts w:ascii="Book Antiqua" w:hAnsi="Book Antiqua" w:cs="Times New Roman"/>
          <w:color w:val="000000"/>
          <w:sz w:val="24"/>
          <w:szCs w:val="24"/>
          <w:lang w:val="es-ES" w:eastAsia="es-ES" w:bidi="es-ES"/>
        </w:rPr>
        <w:t>una condición indiscutible de derecho fundamental surgida del derecho a la libertad de expresión regulado en el artículo 6 de la C</w:t>
      </w:r>
      <w:r w:rsidR="00467043" w:rsidRPr="00CA4C37">
        <w:rPr>
          <w:rFonts w:ascii="Book Antiqua" w:hAnsi="Book Antiqua" w:cs="Times New Roman"/>
          <w:color w:val="000000"/>
          <w:sz w:val="24"/>
          <w:szCs w:val="24"/>
          <w:lang w:val="es-ES" w:eastAsia="es-ES" w:bidi="es-ES"/>
        </w:rPr>
        <w:t>onstitución, así</w:t>
      </w:r>
      <w:r w:rsidR="000305DB" w:rsidRPr="00CA4C37">
        <w:rPr>
          <w:rFonts w:ascii="Book Antiqua" w:hAnsi="Book Antiqua" w:cs="Times New Roman"/>
          <w:color w:val="000000"/>
          <w:sz w:val="24"/>
          <w:szCs w:val="24"/>
          <w:lang w:val="es-ES" w:eastAsia="es-ES" w:bidi="es-ES"/>
        </w:rPr>
        <w:t xml:space="preserve">, el derecho al acceso a la información pública comprende la facultad de buscar, recibir y difundir datos, ideas o informaciones de toda índole, pública o privada, que tengan </w:t>
      </w:r>
      <w:r w:rsidR="000305DB" w:rsidRPr="00CA4C37">
        <w:rPr>
          <w:rStyle w:val="CuerpodeltextoCursiva"/>
          <w:rFonts w:ascii="Book Antiqua" w:eastAsiaTheme="minorHAnsi" w:hAnsi="Book Antiqua"/>
          <w:i w:val="0"/>
          <w:sz w:val="24"/>
          <w:szCs w:val="24"/>
        </w:rPr>
        <w:t>interés público.</w:t>
      </w:r>
      <w:r w:rsidR="001E3567" w:rsidRPr="00CA4C37">
        <w:rPr>
          <w:rFonts w:ascii="Book Antiqua" w:hAnsi="Book Antiqua" w:cs="Times New Roman"/>
          <w:color w:val="000000"/>
          <w:sz w:val="24"/>
          <w:szCs w:val="24"/>
          <w:lang w:val="es-ES" w:eastAsia="es-ES" w:bidi="es-ES"/>
        </w:rPr>
        <w:t xml:space="preserve"> Sin embargo, </w:t>
      </w:r>
      <w:r w:rsidR="000305DB" w:rsidRPr="00CA4C37">
        <w:rPr>
          <w:rFonts w:ascii="Book Antiqua" w:hAnsi="Book Antiqua" w:cs="Times New Roman"/>
          <w:color w:val="000000"/>
          <w:sz w:val="24"/>
          <w:szCs w:val="24"/>
          <w:lang w:val="es-ES" w:eastAsia="es-ES" w:bidi="es-ES"/>
        </w:rPr>
        <w:t xml:space="preserve">este derecho </w:t>
      </w:r>
      <w:r w:rsidR="00F917A5" w:rsidRPr="00CA4C37">
        <w:rPr>
          <w:rFonts w:ascii="Book Antiqua" w:hAnsi="Book Antiqua" w:cs="Times New Roman"/>
          <w:color w:val="000000"/>
          <w:sz w:val="24"/>
          <w:szCs w:val="24"/>
          <w:lang w:val="es-ES" w:eastAsia="es-ES" w:bidi="es-ES"/>
        </w:rPr>
        <w:t xml:space="preserve">no es absoluto, puesto que es susceptible de restricciones que condicionan su pleno ejercicio; </w:t>
      </w:r>
      <w:r w:rsidR="000305DB" w:rsidRPr="00CA4C37">
        <w:rPr>
          <w:rFonts w:ascii="Book Antiqua" w:hAnsi="Book Antiqua" w:cs="Times New Roman"/>
          <w:color w:val="000000"/>
          <w:sz w:val="24"/>
          <w:szCs w:val="24"/>
          <w:lang w:val="es-ES" w:eastAsia="es-ES" w:bidi="es-ES"/>
        </w:rPr>
        <w:t xml:space="preserve">tales restricciones no  pueden ser </w:t>
      </w:r>
      <w:r w:rsidR="00F917A5" w:rsidRPr="00CA4C37">
        <w:rPr>
          <w:rFonts w:ascii="Book Antiqua" w:hAnsi="Book Antiqua" w:cs="Times New Roman"/>
          <w:color w:val="000000"/>
          <w:sz w:val="24"/>
          <w:szCs w:val="24"/>
          <w:lang w:val="es-ES" w:eastAsia="es-ES" w:bidi="es-ES"/>
        </w:rPr>
        <w:t xml:space="preserve">arbitrarias, sino que </w:t>
      </w:r>
      <w:r w:rsidR="000305DB" w:rsidRPr="00CA4C37">
        <w:rPr>
          <w:rFonts w:ascii="Book Antiqua" w:hAnsi="Book Antiqua" w:cs="Times New Roman"/>
          <w:color w:val="000000"/>
          <w:sz w:val="24"/>
          <w:szCs w:val="24"/>
          <w:lang w:val="es-ES" w:eastAsia="es-ES" w:bidi="es-ES"/>
        </w:rPr>
        <w:t>se han establecido previamente por la ley</w:t>
      </w:r>
      <w:r w:rsidR="00F917A5" w:rsidRPr="00CA4C37">
        <w:rPr>
          <w:rFonts w:ascii="Book Antiqua" w:hAnsi="Book Antiqua" w:cs="Times New Roman"/>
          <w:color w:val="000000"/>
          <w:sz w:val="24"/>
          <w:szCs w:val="24"/>
          <w:lang w:val="es-ES" w:eastAsia="es-ES" w:bidi="es-ES"/>
        </w:rPr>
        <w:t>, de esta manera se previene que la</w:t>
      </w:r>
      <w:r w:rsidR="000305DB" w:rsidRPr="00CA4C37">
        <w:rPr>
          <w:rFonts w:ascii="Book Antiqua" w:hAnsi="Book Antiqua" w:cs="Times New Roman"/>
          <w:color w:val="000000"/>
          <w:sz w:val="24"/>
          <w:szCs w:val="24"/>
          <w:lang w:val="es-ES" w:eastAsia="es-ES" w:bidi="es-ES"/>
        </w:rPr>
        <w:t xml:space="preserve"> Administración Pública utilice </w:t>
      </w:r>
      <w:r w:rsidR="00F917A5" w:rsidRPr="00CA4C37">
        <w:rPr>
          <w:rFonts w:ascii="Book Antiqua" w:hAnsi="Book Antiqua" w:cs="Times New Roman"/>
          <w:color w:val="000000"/>
          <w:sz w:val="24"/>
          <w:szCs w:val="24"/>
          <w:lang w:val="es-ES" w:eastAsia="es-ES" w:bidi="es-ES"/>
        </w:rPr>
        <w:t>discrecionalmente argumentos encaminados a negar la información que solicitan los ciudadanos.</w:t>
      </w:r>
      <w:r w:rsidR="000305DB" w:rsidRPr="00CA4C37">
        <w:rPr>
          <w:rFonts w:ascii="Book Antiqua" w:hAnsi="Book Antiqua" w:cs="Times New Roman"/>
          <w:color w:val="000000"/>
          <w:sz w:val="24"/>
          <w:szCs w:val="24"/>
          <w:lang w:val="es-ES" w:eastAsia="es-ES" w:bidi="es-ES"/>
        </w:rPr>
        <w:t xml:space="preserve"> En ese sentido,  el Art. 19 de la </w:t>
      </w:r>
      <w:r w:rsidR="00467043" w:rsidRPr="00CA4C37">
        <w:rPr>
          <w:rFonts w:ascii="Book Antiqua" w:hAnsi="Book Antiqua" w:cs="Times New Roman"/>
          <w:color w:val="000000"/>
          <w:sz w:val="24"/>
          <w:szCs w:val="24"/>
          <w:lang w:val="es-ES" w:eastAsia="es-ES" w:bidi="es-ES"/>
        </w:rPr>
        <w:t xml:space="preserve">LAIP, </w:t>
      </w:r>
      <w:r w:rsidR="000305DB" w:rsidRPr="00CA4C37">
        <w:rPr>
          <w:rFonts w:ascii="Book Antiqua" w:hAnsi="Book Antiqua" w:cs="Times New Roman"/>
          <w:color w:val="000000"/>
          <w:sz w:val="24"/>
          <w:szCs w:val="24"/>
          <w:lang w:val="es-ES" w:eastAsia="es-ES" w:bidi="es-ES"/>
        </w:rPr>
        <w:t>ha tipificado las razones por las cuales debe restringirse una infor</w:t>
      </w:r>
      <w:r w:rsidR="00467043" w:rsidRPr="00CA4C37">
        <w:rPr>
          <w:rFonts w:ascii="Book Antiqua" w:hAnsi="Book Antiqua" w:cs="Times New Roman"/>
          <w:color w:val="000000"/>
          <w:sz w:val="24"/>
          <w:szCs w:val="24"/>
          <w:lang w:val="es-ES" w:eastAsia="es-ES" w:bidi="es-ES"/>
        </w:rPr>
        <w:t xml:space="preserve">mación, manifestando: “Es información reservada: e) la que contenga opiniones o recomendaciones que formen parte del proceso deliberativo de los servidores públicos, en tanto no sea adoptada la decisión definitiva”,  por lo que en Acuerdo  Número Ciento Cuarenta y Cuatro del doce de diciembre de dos mil diecisiete, se declaró como reservada la información que se detalla en el Índice publicado en: </w:t>
      </w:r>
      <w:hyperlink r:id="rId10" w:history="1">
        <w:r w:rsidR="001E3567" w:rsidRPr="00CA4C37">
          <w:rPr>
            <w:rStyle w:val="Hipervnculo"/>
            <w:rFonts w:ascii="Book Antiqua" w:hAnsi="Book Antiqua" w:cs="Times New Roman"/>
            <w:sz w:val="24"/>
            <w:szCs w:val="24"/>
            <w:lang w:val="es-ES" w:eastAsia="es-ES" w:bidi="es-ES"/>
          </w:rPr>
          <w:t>http://www.transparencia.gob.sv/institutions/migobdt/documents/indice-de-informacion-reservada</w:t>
        </w:r>
      </w:hyperlink>
      <w:r w:rsidR="001E3567" w:rsidRPr="00CA4C37">
        <w:rPr>
          <w:rFonts w:ascii="Book Antiqua" w:hAnsi="Book Antiqua" w:cs="Times New Roman"/>
          <w:color w:val="000000"/>
          <w:sz w:val="24"/>
          <w:szCs w:val="24"/>
          <w:lang w:val="es-ES" w:eastAsia="es-ES" w:bidi="es-ES"/>
        </w:rPr>
        <w:t>, entre la cual se encuentra la manifestada por la referida Dirección, es decir:“</w:t>
      </w:r>
      <w:r w:rsidR="001E3567" w:rsidRPr="00CA4C37">
        <w:rPr>
          <w:rFonts w:ascii="Book Antiqua" w:hAnsi="Book Antiqua" w:cs="Times New Roman"/>
          <w:sz w:val="24"/>
          <w:szCs w:val="24"/>
        </w:rPr>
        <w:t>Expedientes Jurídicos en proceso de  calificación de elección de miembros de Órgan</w:t>
      </w:r>
      <w:r w:rsidRPr="00CA4C37">
        <w:rPr>
          <w:rFonts w:ascii="Book Antiqua" w:hAnsi="Book Antiqua" w:cs="Times New Roman"/>
          <w:sz w:val="24"/>
          <w:szCs w:val="24"/>
        </w:rPr>
        <w:t xml:space="preserve">os de </w:t>
      </w:r>
      <w:r w:rsidR="001E3567" w:rsidRPr="00CA4C37">
        <w:rPr>
          <w:rFonts w:ascii="Book Antiqua" w:hAnsi="Book Antiqua" w:cs="Times New Roman"/>
          <w:sz w:val="24"/>
          <w:szCs w:val="24"/>
        </w:rPr>
        <w:t xml:space="preserve">Administración en los que consten los nombramientos de sus representantes, dirigentes, administradores y nóminas de miembros de las Asociaciones y Fundaciones Sin fines de Lucro y de entidades extranjeras, hasta su inscripción o resolución definitiva en su caso”, el cual se ha reservada por el periodo de un año. </w:t>
      </w:r>
      <w:r w:rsidRPr="00CA4C37">
        <w:rPr>
          <w:rFonts w:ascii="Book Antiqua" w:hAnsi="Book Antiqua" w:cs="Times New Roman"/>
          <w:b/>
          <w:sz w:val="24"/>
          <w:szCs w:val="24"/>
        </w:rPr>
        <w:t>V.</w:t>
      </w:r>
      <w:r w:rsidRPr="00CA4C37">
        <w:rPr>
          <w:rFonts w:ascii="Book Antiqua" w:hAnsi="Book Antiqua" w:cs="Times New Roman"/>
          <w:sz w:val="24"/>
          <w:szCs w:val="24"/>
        </w:rPr>
        <w:t xml:space="preserve">  Que respecto a  la documentación que ha sido remitida en versión pública, cabe menc</w:t>
      </w:r>
      <w:r w:rsidR="007360B1" w:rsidRPr="00CA4C37">
        <w:rPr>
          <w:rFonts w:ascii="Book Antiqua" w:hAnsi="Book Antiqua" w:cs="Times New Roman"/>
          <w:sz w:val="24"/>
          <w:szCs w:val="24"/>
        </w:rPr>
        <w:t>ionar que  la Dirección de</w:t>
      </w:r>
      <w:r w:rsidR="007B3334" w:rsidRPr="00CA4C37">
        <w:rPr>
          <w:rFonts w:ascii="Book Antiqua" w:hAnsi="Book Antiqua" w:cs="Times New Roman"/>
          <w:sz w:val="24"/>
          <w:szCs w:val="24"/>
        </w:rPr>
        <w:t>l</w:t>
      </w:r>
      <w:r w:rsidR="007360B1" w:rsidRPr="00CA4C37">
        <w:rPr>
          <w:rFonts w:ascii="Book Antiqua" w:hAnsi="Book Antiqua" w:cs="Times New Roman"/>
          <w:sz w:val="24"/>
          <w:szCs w:val="24"/>
        </w:rPr>
        <w:t xml:space="preserve"> Registro de Asociaciones y  Fundaciones, actúa conforme al Art. 30 de la LAIP y Art. 55 de su Reglamento, ya que protege  los datos que considera se encuentran clasificados como confidenciales conforme al Art. 6  letra a) en relación con el Art. 24 de la LAIP, y a fin de proteger el derecho manifestado en el Art. 31 de la referida norma, es decir, el derecho a la </w:t>
      </w:r>
      <w:r w:rsidR="007B3334" w:rsidRPr="00CA4C37">
        <w:rPr>
          <w:rFonts w:ascii="Book Antiqua" w:hAnsi="Book Antiqua" w:cs="Times New Roman"/>
          <w:sz w:val="24"/>
          <w:szCs w:val="24"/>
        </w:rPr>
        <w:t xml:space="preserve">protección de datos personales. </w:t>
      </w:r>
      <w:r w:rsidR="00006A65" w:rsidRPr="00CA4C37">
        <w:rPr>
          <w:rFonts w:ascii="Book Antiqua" w:eastAsia="Times New Roman" w:hAnsi="Book Antiqua" w:cs="Times New Roman"/>
          <w:b/>
          <w:sz w:val="24"/>
          <w:szCs w:val="24"/>
          <w:lang w:val="es-ES" w:eastAsia="es-ES"/>
        </w:rPr>
        <w:t xml:space="preserve">POR TANTO, </w:t>
      </w:r>
      <w:r w:rsidR="001E3567" w:rsidRPr="00CA4C37">
        <w:rPr>
          <w:rFonts w:ascii="Book Antiqua" w:eastAsia="Times New Roman" w:hAnsi="Book Antiqua" w:cs="Times New Roman"/>
          <w:sz w:val="24"/>
          <w:szCs w:val="24"/>
          <w:lang w:val="es-ES" w:eastAsia="es-ES"/>
        </w:rPr>
        <w:t>conforme a los Art. 86 inc. 3°</w:t>
      </w:r>
      <w:r w:rsidR="00006A65" w:rsidRPr="00CA4C37">
        <w:rPr>
          <w:rFonts w:ascii="Book Antiqua" w:eastAsia="Times New Roman" w:hAnsi="Book Antiqua" w:cs="Times New Roman"/>
          <w:sz w:val="24"/>
          <w:szCs w:val="24"/>
          <w:lang w:val="es-ES" w:eastAsia="es-ES"/>
        </w:rPr>
        <w:t xml:space="preserve"> de la Constitución, y Arts. </w:t>
      </w:r>
      <w:r w:rsidRPr="00CA4C37">
        <w:rPr>
          <w:rFonts w:ascii="Book Antiqua" w:eastAsia="Times New Roman" w:hAnsi="Book Antiqua" w:cs="Times New Roman"/>
          <w:sz w:val="24"/>
          <w:szCs w:val="24"/>
          <w:lang w:val="es-ES" w:eastAsia="es-ES"/>
        </w:rPr>
        <w:t>2,</w:t>
      </w:r>
      <w:r w:rsidR="00006A65" w:rsidRPr="00CA4C37">
        <w:rPr>
          <w:rFonts w:ascii="Book Antiqua" w:eastAsia="Times New Roman" w:hAnsi="Book Antiqua" w:cs="Times New Roman"/>
          <w:sz w:val="24"/>
          <w:szCs w:val="24"/>
          <w:lang w:val="es-ES" w:eastAsia="es-ES"/>
        </w:rPr>
        <w:t xml:space="preserve">7, 9, </w:t>
      </w:r>
      <w:r w:rsidRPr="00CA4C37">
        <w:rPr>
          <w:rFonts w:ascii="Book Antiqua" w:eastAsia="Times New Roman" w:hAnsi="Book Antiqua" w:cs="Times New Roman"/>
          <w:sz w:val="24"/>
          <w:szCs w:val="24"/>
          <w:lang w:val="es-ES" w:eastAsia="es-ES"/>
        </w:rPr>
        <w:t xml:space="preserve">19, </w:t>
      </w:r>
      <w:r w:rsidR="007B3334" w:rsidRPr="00CA4C37">
        <w:rPr>
          <w:rFonts w:ascii="Book Antiqua" w:eastAsia="Times New Roman" w:hAnsi="Book Antiqua" w:cs="Times New Roman"/>
          <w:sz w:val="24"/>
          <w:szCs w:val="24"/>
          <w:lang w:val="es-ES" w:eastAsia="es-ES"/>
        </w:rPr>
        <w:t xml:space="preserve">30, </w:t>
      </w:r>
      <w:r w:rsidR="00006A65" w:rsidRPr="00CA4C37">
        <w:rPr>
          <w:rFonts w:ascii="Book Antiqua" w:eastAsia="Times New Roman" w:hAnsi="Book Antiqua" w:cs="Times New Roman"/>
          <w:sz w:val="24"/>
          <w:szCs w:val="24"/>
          <w:lang w:val="es-ES" w:eastAsia="es-ES"/>
        </w:rPr>
        <w:t>50, 62 y 72 de la Ley de Acceso a la Información Pública, esta dependencia</w:t>
      </w:r>
      <w:r w:rsidR="00287009" w:rsidRPr="00CA4C37">
        <w:rPr>
          <w:rFonts w:ascii="Book Antiqua" w:eastAsia="Times New Roman" w:hAnsi="Book Antiqua" w:cs="Times New Roman"/>
          <w:b/>
          <w:sz w:val="24"/>
          <w:szCs w:val="24"/>
          <w:lang w:val="es-ES" w:eastAsia="es-ES"/>
        </w:rPr>
        <w:t xml:space="preserve">, RESUELVE: 1° CONCEDER </w:t>
      </w:r>
      <w:r w:rsidR="00287009" w:rsidRPr="00CA4C37">
        <w:rPr>
          <w:rFonts w:ascii="Book Antiqua" w:eastAsia="Times New Roman" w:hAnsi="Book Antiqua" w:cs="Times New Roman"/>
          <w:sz w:val="24"/>
          <w:szCs w:val="24"/>
          <w:lang w:val="es-ES" w:eastAsia="es-ES"/>
        </w:rPr>
        <w:t>el acc</w:t>
      </w:r>
      <w:r w:rsidRPr="00CA4C37">
        <w:rPr>
          <w:rFonts w:ascii="Book Antiqua" w:eastAsia="Times New Roman" w:hAnsi="Book Antiqua" w:cs="Times New Roman"/>
          <w:sz w:val="24"/>
          <w:szCs w:val="24"/>
          <w:lang w:val="es-ES" w:eastAsia="es-ES"/>
        </w:rPr>
        <w:t xml:space="preserve">eso a la información en relación a </w:t>
      </w:r>
      <w:r w:rsidRPr="00CA4C37">
        <w:rPr>
          <w:rFonts w:ascii="Book Antiqua" w:eastAsia="Times New Roman" w:hAnsi="Book Antiqua" w:cs="Times New Roman"/>
          <w:sz w:val="24"/>
          <w:szCs w:val="24"/>
          <w:lang w:eastAsia="es-ES"/>
        </w:rPr>
        <w:t>las juntas directivas inscritas de la Asociación de Abogados de Oriente y Centros de estudios Jurídicos, de las cuales se entrega</w:t>
      </w:r>
      <w:r w:rsidR="007360B1" w:rsidRPr="00CA4C37">
        <w:rPr>
          <w:rFonts w:ascii="Book Antiqua" w:eastAsia="Times New Roman" w:hAnsi="Book Antiqua" w:cs="Times New Roman"/>
          <w:sz w:val="24"/>
          <w:szCs w:val="24"/>
          <w:lang w:eastAsia="es-ES"/>
        </w:rPr>
        <w:t xml:space="preserve">n </w:t>
      </w:r>
      <w:r w:rsidRPr="00CA4C37">
        <w:rPr>
          <w:rFonts w:ascii="Book Antiqua" w:eastAsia="Times New Roman" w:hAnsi="Book Antiqua" w:cs="Times New Roman"/>
          <w:sz w:val="24"/>
          <w:szCs w:val="24"/>
          <w:lang w:eastAsia="es-ES"/>
        </w:rPr>
        <w:t xml:space="preserve"> versiones públicas. </w:t>
      </w:r>
      <w:r w:rsidR="007360B1" w:rsidRPr="00CA4C37">
        <w:rPr>
          <w:rFonts w:ascii="Book Antiqua" w:eastAsia="Times New Roman" w:hAnsi="Book Antiqua" w:cs="Times New Roman"/>
          <w:b/>
          <w:sz w:val="24"/>
          <w:szCs w:val="24"/>
          <w:lang w:val="es-ES" w:eastAsia="es-ES"/>
        </w:rPr>
        <w:t xml:space="preserve">2° NEGAR </w:t>
      </w:r>
      <w:r w:rsidR="007360B1" w:rsidRPr="00CA4C37">
        <w:rPr>
          <w:rFonts w:ascii="Book Antiqua" w:eastAsia="Times New Roman" w:hAnsi="Book Antiqua" w:cs="Times New Roman"/>
          <w:sz w:val="24"/>
          <w:szCs w:val="24"/>
          <w:lang w:val="es-ES" w:eastAsia="es-ES"/>
        </w:rPr>
        <w:lastRenderedPageBreak/>
        <w:t xml:space="preserve">el acceso a la información  relacionada a la </w:t>
      </w:r>
      <w:r w:rsidRPr="00CA4C37">
        <w:rPr>
          <w:rFonts w:ascii="Book Antiqua" w:eastAsia="Times New Roman" w:hAnsi="Book Antiqua" w:cs="Times New Roman"/>
          <w:sz w:val="24"/>
          <w:szCs w:val="24"/>
          <w:lang w:eastAsia="es-ES"/>
        </w:rPr>
        <w:t xml:space="preserve">Asociación de Abogados de </w:t>
      </w:r>
      <w:r w:rsidR="007360B1" w:rsidRPr="00CA4C37">
        <w:rPr>
          <w:rFonts w:ascii="Book Antiqua" w:eastAsia="Times New Roman" w:hAnsi="Book Antiqua" w:cs="Times New Roman"/>
          <w:sz w:val="24"/>
          <w:szCs w:val="24"/>
          <w:lang w:eastAsia="es-ES"/>
        </w:rPr>
        <w:t xml:space="preserve">Ahuachapán, </w:t>
      </w:r>
      <w:r w:rsidRPr="00CA4C37">
        <w:rPr>
          <w:rFonts w:ascii="Book Antiqua" w:eastAsia="Times New Roman" w:hAnsi="Book Antiqua" w:cs="Times New Roman"/>
          <w:sz w:val="24"/>
          <w:szCs w:val="24"/>
          <w:lang w:eastAsia="es-ES"/>
        </w:rPr>
        <w:t>Sociedad de Abogados de Occidente, Asociación de Abogados de Nueva San Salvador y C</w:t>
      </w:r>
      <w:r w:rsidR="007360B1" w:rsidRPr="00CA4C37">
        <w:rPr>
          <w:rFonts w:ascii="Book Antiqua" w:eastAsia="Times New Roman" w:hAnsi="Book Antiqua" w:cs="Times New Roman"/>
          <w:sz w:val="24"/>
          <w:szCs w:val="24"/>
          <w:lang w:eastAsia="es-ES"/>
        </w:rPr>
        <w:t xml:space="preserve">irculo de Abogados Salvadoreños por encontrarse dentro de la información clasificada como reservada. </w:t>
      </w:r>
      <w:r w:rsidR="00287009" w:rsidRPr="00CA4C37">
        <w:rPr>
          <w:rFonts w:ascii="Book Antiqua" w:eastAsia="Times New Roman" w:hAnsi="Book Antiqua" w:cs="Times New Roman"/>
          <w:b/>
          <w:sz w:val="24"/>
          <w:szCs w:val="24"/>
          <w:lang w:val="es-ES" w:eastAsia="es-ES"/>
        </w:rPr>
        <w:t>3° HABILÍTESE</w:t>
      </w:r>
      <w:r w:rsidR="00287009" w:rsidRPr="00CA4C37">
        <w:rPr>
          <w:rFonts w:ascii="Book Antiqua" w:eastAsia="Times New Roman" w:hAnsi="Book Antiqua" w:cs="Times New Roman"/>
          <w:sz w:val="24"/>
          <w:szCs w:val="24"/>
          <w:lang w:val="es-ES" w:eastAsia="es-ES"/>
        </w:rPr>
        <w:t xml:space="preserve"> el derecho a recurrir conforme al Art. 82 de la Ley de Acceso a la Información. </w:t>
      </w:r>
      <w:r w:rsidR="00287009" w:rsidRPr="00CA4C37">
        <w:rPr>
          <w:rFonts w:ascii="Book Antiqua" w:eastAsia="Times New Roman" w:hAnsi="Book Antiqua" w:cs="Times New Roman"/>
          <w:b/>
          <w:sz w:val="24"/>
          <w:szCs w:val="24"/>
          <w:lang w:val="es-ES" w:eastAsia="es-ES"/>
        </w:rPr>
        <w:t>4°</w:t>
      </w:r>
      <w:r w:rsidR="00287009" w:rsidRPr="00CA4C37">
        <w:rPr>
          <w:rFonts w:ascii="Book Antiqua" w:eastAsia="Times New Roman" w:hAnsi="Book Antiqua" w:cs="Times New Roman"/>
          <w:sz w:val="24"/>
          <w:szCs w:val="24"/>
          <w:lang w:val="es-ES" w:eastAsia="es-ES"/>
        </w:rPr>
        <w:t xml:space="preserve"> </w:t>
      </w:r>
      <w:r w:rsidR="007360B1" w:rsidRPr="00CA4C37">
        <w:rPr>
          <w:rFonts w:ascii="Book Antiqua" w:eastAsia="Times New Roman" w:hAnsi="Book Antiqua" w:cs="Times New Roman"/>
          <w:b/>
          <w:sz w:val="24"/>
          <w:szCs w:val="24"/>
          <w:lang w:val="es-ES" w:eastAsia="es-ES"/>
        </w:rPr>
        <w:t>REMÍTASE</w:t>
      </w:r>
      <w:r w:rsidR="00287009" w:rsidRPr="00CA4C37">
        <w:rPr>
          <w:rFonts w:ascii="Book Antiqua" w:eastAsia="Times New Roman" w:hAnsi="Book Antiqua" w:cs="Times New Roman"/>
          <w:b/>
          <w:sz w:val="24"/>
          <w:szCs w:val="24"/>
          <w:lang w:val="es-ES" w:eastAsia="es-ES"/>
        </w:rPr>
        <w:t xml:space="preserve"> </w:t>
      </w:r>
      <w:r w:rsidR="00287009" w:rsidRPr="00CA4C37">
        <w:rPr>
          <w:rFonts w:ascii="Book Antiqua" w:eastAsia="Times New Roman" w:hAnsi="Book Antiqua" w:cs="Times New Roman"/>
          <w:sz w:val="24"/>
          <w:szCs w:val="24"/>
          <w:lang w:val="es-ES" w:eastAsia="es-ES"/>
        </w:rPr>
        <w:t xml:space="preserve">la presente por medio señalada para tal efecto. </w:t>
      </w:r>
      <w:r w:rsidR="00287009" w:rsidRPr="00CA4C37">
        <w:rPr>
          <w:rFonts w:ascii="Book Antiqua" w:eastAsia="Times New Roman" w:hAnsi="Book Antiqua" w:cs="Times New Roman"/>
          <w:b/>
          <w:sz w:val="24"/>
          <w:szCs w:val="24"/>
          <w:lang w:val="es-ES" w:eastAsia="es-ES"/>
        </w:rPr>
        <w:t>NOTIFÍQUESE</w:t>
      </w:r>
      <w:r w:rsidR="00287009" w:rsidRPr="00CA4C37">
        <w:rPr>
          <w:rFonts w:ascii="Book Antiqua" w:eastAsia="Times New Roman" w:hAnsi="Book Antiqua" w:cs="Times New Roman"/>
          <w:sz w:val="24"/>
          <w:szCs w:val="24"/>
          <w:lang w:val="es-ES" w:eastAsia="es-ES"/>
        </w:rPr>
        <w:t>.</w:t>
      </w:r>
    </w:p>
    <w:p w:rsidR="00006A65" w:rsidRPr="00CA4C37" w:rsidRDefault="00006A65" w:rsidP="00CA4C37">
      <w:pPr>
        <w:spacing w:after="0"/>
        <w:jc w:val="both"/>
        <w:rPr>
          <w:rFonts w:ascii="Book Antiqua" w:eastAsia="Times New Roman" w:hAnsi="Book Antiqua" w:cs="Times New Roman"/>
          <w:sz w:val="24"/>
          <w:szCs w:val="24"/>
          <w:lang w:val="es-ES" w:eastAsia="es-ES"/>
        </w:rPr>
      </w:pPr>
    </w:p>
    <w:p w:rsidR="007360B1" w:rsidRDefault="007360B1" w:rsidP="00CA4C37">
      <w:pPr>
        <w:spacing w:after="0"/>
        <w:jc w:val="both"/>
        <w:rPr>
          <w:rFonts w:ascii="Book Antiqua" w:eastAsia="Times New Roman" w:hAnsi="Book Antiqua" w:cs="Times New Roman"/>
          <w:sz w:val="24"/>
          <w:szCs w:val="24"/>
          <w:lang w:val="es-ES" w:eastAsia="es-ES"/>
        </w:rPr>
      </w:pPr>
    </w:p>
    <w:p w:rsidR="00CA4C37" w:rsidRDefault="00CA4C37" w:rsidP="00CA4C37">
      <w:pPr>
        <w:spacing w:after="0"/>
        <w:jc w:val="both"/>
        <w:rPr>
          <w:rFonts w:ascii="Book Antiqua" w:eastAsia="Times New Roman" w:hAnsi="Book Antiqua" w:cs="Times New Roman"/>
          <w:sz w:val="24"/>
          <w:szCs w:val="24"/>
          <w:lang w:val="es-ES" w:eastAsia="es-ES"/>
        </w:rPr>
      </w:pPr>
    </w:p>
    <w:p w:rsidR="00CA4C37" w:rsidRPr="00CA4C37" w:rsidRDefault="00CA4C37" w:rsidP="00CA4C37">
      <w:pPr>
        <w:spacing w:after="0"/>
        <w:jc w:val="both"/>
        <w:rPr>
          <w:rFonts w:ascii="Book Antiqua" w:eastAsia="Times New Roman" w:hAnsi="Book Antiqua" w:cs="Times New Roman"/>
          <w:sz w:val="24"/>
          <w:szCs w:val="24"/>
          <w:lang w:val="es-ES" w:eastAsia="es-ES"/>
        </w:rPr>
      </w:pPr>
      <w:bookmarkStart w:id="0" w:name="_GoBack"/>
      <w:bookmarkEnd w:id="0"/>
    </w:p>
    <w:p w:rsidR="007360B1" w:rsidRPr="00CA4C37" w:rsidRDefault="007360B1" w:rsidP="00CA4C37">
      <w:pPr>
        <w:spacing w:after="0"/>
        <w:jc w:val="both"/>
        <w:rPr>
          <w:rFonts w:ascii="Book Antiqua" w:eastAsia="Times New Roman" w:hAnsi="Book Antiqua" w:cs="Times New Roman"/>
          <w:sz w:val="24"/>
          <w:szCs w:val="24"/>
          <w:lang w:val="es-ES" w:eastAsia="es-ES"/>
        </w:rPr>
      </w:pPr>
    </w:p>
    <w:p w:rsidR="00006A65" w:rsidRPr="00CA4C37" w:rsidRDefault="00006A65" w:rsidP="00CA4C37">
      <w:pPr>
        <w:tabs>
          <w:tab w:val="left" w:pos="3418"/>
        </w:tabs>
        <w:spacing w:after="0"/>
        <w:jc w:val="center"/>
        <w:rPr>
          <w:rFonts w:ascii="Book Antiqua" w:eastAsia="Times New Roman" w:hAnsi="Book Antiqua" w:cs="Times New Roman"/>
          <w:b/>
          <w:sz w:val="24"/>
          <w:szCs w:val="24"/>
          <w:lang w:val="es-ES_tradnl" w:eastAsia="es-ES_tradnl"/>
        </w:rPr>
      </w:pPr>
      <w:r w:rsidRPr="00CA4C37">
        <w:rPr>
          <w:rFonts w:ascii="Book Antiqua" w:eastAsia="Times New Roman" w:hAnsi="Book Antiqua" w:cs="Times New Roman"/>
          <w:b/>
          <w:sz w:val="24"/>
          <w:szCs w:val="24"/>
          <w:lang w:val="es-ES_tradnl" w:eastAsia="es-ES_tradnl"/>
        </w:rPr>
        <w:t>JENNI VANESSA QUINTANILLA GARCÍA</w:t>
      </w:r>
    </w:p>
    <w:p w:rsidR="00006A65" w:rsidRPr="00CA4C37" w:rsidRDefault="00006A65" w:rsidP="00CA4C37">
      <w:pPr>
        <w:spacing w:after="0"/>
        <w:jc w:val="center"/>
        <w:rPr>
          <w:rFonts w:ascii="Book Antiqua" w:eastAsia="Times New Roman" w:hAnsi="Book Antiqua" w:cs="Times New Roman"/>
          <w:b/>
          <w:sz w:val="24"/>
          <w:szCs w:val="24"/>
          <w:lang w:val="es-ES_tradnl" w:eastAsia="es-ES_tradnl"/>
        </w:rPr>
      </w:pPr>
      <w:r w:rsidRPr="00CA4C37">
        <w:rPr>
          <w:rFonts w:ascii="Book Antiqua" w:eastAsia="Times New Roman" w:hAnsi="Book Antiqua" w:cs="Times New Roman"/>
          <w:b/>
          <w:sz w:val="24"/>
          <w:szCs w:val="24"/>
          <w:lang w:val="es-ES_tradnl" w:eastAsia="es-ES_tradnl"/>
        </w:rPr>
        <w:t>OFICIAL DE INFORMACIÓN AD-HONOREM</w:t>
      </w:r>
    </w:p>
    <w:p w:rsidR="00641052" w:rsidRPr="00CA4C37" w:rsidRDefault="00641052" w:rsidP="00CA4C37">
      <w:pPr>
        <w:spacing w:after="0"/>
        <w:rPr>
          <w:rFonts w:ascii="Book Antiqua" w:hAnsi="Book Antiqua"/>
          <w:sz w:val="24"/>
          <w:szCs w:val="24"/>
          <w:lang w:val="es-ES_tradnl"/>
        </w:rPr>
      </w:pPr>
    </w:p>
    <w:sectPr w:rsidR="00641052" w:rsidRPr="00CA4C37" w:rsidSect="00F50FD5">
      <w:headerReference w:type="default" r:id="rId11"/>
      <w:footerReference w:type="default" r:id="rId12"/>
      <w:pgSz w:w="12240" w:h="15840"/>
      <w:pgMar w:top="1417" w:right="1325" w:bottom="1417" w:left="1701" w:header="708" w:footer="1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9F8" w:rsidRDefault="00AB79F8">
      <w:pPr>
        <w:spacing w:after="0" w:line="240" w:lineRule="auto"/>
      </w:pPr>
      <w:r>
        <w:separator/>
      </w:r>
    </w:p>
  </w:endnote>
  <w:endnote w:type="continuationSeparator" w:id="0">
    <w:p w:rsidR="00AB79F8" w:rsidRDefault="00AB7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55C" w:rsidRPr="001E74F9" w:rsidRDefault="0071440F" w:rsidP="0068355C">
    <w:pPr>
      <w:tabs>
        <w:tab w:val="center" w:pos="4419"/>
        <w:tab w:val="right" w:pos="8838"/>
      </w:tabs>
      <w:spacing w:after="0" w:line="240" w:lineRule="auto"/>
      <w:rPr>
        <w:rFonts w:ascii="Monotype Corsiva" w:hAnsi="Monotype Corsiva"/>
      </w:rPr>
    </w:pPr>
    <w:r w:rsidRPr="001E74F9">
      <w:rPr>
        <w:rFonts w:ascii="Monotype Corsiva" w:hAnsi="Monotype Corsiva"/>
      </w:rPr>
      <w:t>_______________________________________________________________________________</w:t>
    </w:r>
  </w:p>
  <w:p w:rsidR="0068355C" w:rsidRPr="001E74F9" w:rsidRDefault="0071440F" w:rsidP="0068355C">
    <w:pPr>
      <w:pStyle w:val="Piedepgina"/>
      <w:rPr>
        <w:rFonts w:ascii="Monotype Corsiva" w:hAnsi="Monotype Corsiva"/>
        <w:sz w:val="21"/>
        <w:szCs w:val="21"/>
      </w:rPr>
    </w:pPr>
    <w:r w:rsidRPr="001E74F9">
      <w:rPr>
        <w:rFonts w:ascii="Monotype Corsiva" w:hAnsi="Monotype Corsiva"/>
        <w:vanish/>
        <w:sz w:val="21"/>
        <w:szCs w:val="21"/>
      </w:rPr>
      <w:t>&lt;_______________________________</w:t>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sz w:val="21"/>
        <w:szCs w:val="21"/>
      </w:rPr>
      <w:t>15 Av. Norte Y 9ª calle poniente, Centro de Gobierno San Salvador</w:t>
    </w:r>
  </w:p>
  <w:p w:rsidR="0068355C" w:rsidRPr="001E74F9" w:rsidRDefault="0071440F" w:rsidP="0068355C">
    <w:pPr>
      <w:tabs>
        <w:tab w:val="center" w:pos="4419"/>
        <w:tab w:val="right" w:pos="8838"/>
      </w:tabs>
      <w:spacing w:after="0" w:line="240" w:lineRule="auto"/>
      <w:rPr>
        <w:rFonts w:ascii="Monotype Corsiva" w:hAnsi="Monotype Corsiva"/>
        <w:sz w:val="21"/>
        <w:szCs w:val="21"/>
      </w:rPr>
    </w:pPr>
    <w:r w:rsidRPr="001E74F9">
      <w:rPr>
        <w:rFonts w:ascii="Monotype Corsiva" w:hAnsi="Monotype Corsiva"/>
        <w:sz w:val="21"/>
        <w:szCs w:val="21"/>
      </w:rPr>
      <w:t>Unidad de Acceso a la Información Pública Tel: 2527-7022</w:t>
    </w:r>
  </w:p>
  <w:p w:rsidR="0068355C" w:rsidRDefault="0071440F" w:rsidP="0068355C">
    <w:pPr>
      <w:pStyle w:val="Piedepgina"/>
    </w:pPr>
    <w:r w:rsidRPr="00186C89">
      <w:rPr>
        <w:noProof/>
        <w:lang w:eastAsia="es-SV"/>
      </w:rPr>
      <w:drawing>
        <wp:anchor distT="0" distB="0" distL="114300" distR="114300" simplePos="0" relativeHeight="251659264" behindDoc="0" locked="0" layoutInCell="1" allowOverlap="1" wp14:anchorId="52E6DFC5" wp14:editId="7E2379B4">
          <wp:simplePos x="0" y="0"/>
          <wp:positionH relativeFrom="column">
            <wp:posOffset>-27305</wp:posOffset>
          </wp:positionH>
          <wp:positionV relativeFrom="paragraph">
            <wp:posOffset>23495</wp:posOffset>
          </wp:positionV>
          <wp:extent cx="2472055" cy="469265"/>
          <wp:effectExtent l="0" t="0" r="4445" b="6985"/>
          <wp:wrapSquare wrapText="bothSides"/>
          <wp:docPr id="2" name="Imagen 2"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67727"/>
                  <a:stretch/>
                </pic:blipFill>
                <pic:spPr bwMode="auto">
                  <a:xfrm>
                    <a:off x="0" y="0"/>
                    <a:ext cx="2472055" cy="4692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8355C" w:rsidRDefault="00AB79F8" w:rsidP="0068355C">
    <w:pPr>
      <w:pStyle w:val="Piedepgina"/>
    </w:pPr>
  </w:p>
  <w:p w:rsidR="0068355C" w:rsidRDefault="00AB79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9F8" w:rsidRDefault="00AB79F8">
      <w:pPr>
        <w:spacing w:after="0" w:line="240" w:lineRule="auto"/>
      </w:pPr>
      <w:r>
        <w:separator/>
      </w:r>
    </w:p>
  </w:footnote>
  <w:footnote w:type="continuationSeparator" w:id="0">
    <w:p w:rsidR="00AB79F8" w:rsidRDefault="00AB79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D1C" w:rsidRPr="00CA4C37" w:rsidRDefault="004E7BE1" w:rsidP="00CA4C37">
    <w:pPr>
      <w:pStyle w:val="Encabezado"/>
      <w:jc w:val="both"/>
      <w:rPr>
        <w:rFonts w:ascii="Book Antiqua" w:hAnsi="Book Antiqua"/>
        <w:color w:val="FF0000"/>
      </w:rPr>
    </w:pPr>
    <w:r w:rsidRPr="00CA4C37">
      <w:rPr>
        <w:rFonts w:ascii="Book Antiqua" w:hAnsi="Book Antiqua"/>
        <w:color w:val="FF0000"/>
      </w:rPr>
      <w:t>Versión pública de acuerdo a lo dispuesto en el Art. 30 de la LAIP, se elimina el nombre por ser dato personal Art. 6 literal “a”; información confidencial Art. 6 literal “f”; y Art 19, todos de la LAIP, el dato se ubicaba en la parte intermedia de la presente resolución</w:t>
    </w:r>
  </w:p>
  <w:p w:rsidR="00CA4C37" w:rsidRDefault="00CA4C37">
    <w:pPr>
      <w:pStyle w:val="Encabezado"/>
      <w:rPr>
        <w:color w:val="FF0000"/>
      </w:rPr>
    </w:pPr>
  </w:p>
  <w:p w:rsidR="00CA4C37" w:rsidRPr="004E7BE1" w:rsidRDefault="00CA4C37">
    <w:pPr>
      <w:pStyle w:val="Encabezado"/>
      <w:rPr>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2830BC"/>
    <w:multiLevelType w:val="hybridMultilevel"/>
    <w:tmpl w:val="62BE6A3C"/>
    <w:lvl w:ilvl="0" w:tplc="C9F2ED4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68583A10"/>
    <w:multiLevelType w:val="multilevel"/>
    <w:tmpl w:val="893A199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A65"/>
    <w:rsid w:val="00006A65"/>
    <w:rsid w:val="000305DB"/>
    <w:rsid w:val="001E3567"/>
    <w:rsid w:val="00287009"/>
    <w:rsid w:val="002E3276"/>
    <w:rsid w:val="00467043"/>
    <w:rsid w:val="004E7BE1"/>
    <w:rsid w:val="00641052"/>
    <w:rsid w:val="0071440F"/>
    <w:rsid w:val="007360B1"/>
    <w:rsid w:val="007B3334"/>
    <w:rsid w:val="00812CE0"/>
    <w:rsid w:val="00883283"/>
    <w:rsid w:val="009C229F"/>
    <w:rsid w:val="00AB79F8"/>
    <w:rsid w:val="00B1379E"/>
    <w:rsid w:val="00CA4C37"/>
    <w:rsid w:val="00D02EB3"/>
    <w:rsid w:val="00EC51BF"/>
    <w:rsid w:val="00F10A0E"/>
    <w:rsid w:val="00F917A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A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06A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06A65"/>
  </w:style>
  <w:style w:type="paragraph" w:styleId="Encabezado">
    <w:name w:val="header"/>
    <w:basedOn w:val="Normal"/>
    <w:link w:val="EncabezadoCar"/>
    <w:uiPriority w:val="99"/>
    <w:unhideWhenUsed/>
    <w:rsid w:val="00006A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06A65"/>
  </w:style>
  <w:style w:type="character" w:customStyle="1" w:styleId="Cuerpodeltexto">
    <w:name w:val="Cuerpo del texto_"/>
    <w:basedOn w:val="Fuentedeprrafopredeter"/>
    <w:link w:val="Cuerpodeltexto0"/>
    <w:rsid w:val="00F917A5"/>
    <w:rPr>
      <w:rFonts w:ascii="Times New Roman" w:eastAsia="Times New Roman" w:hAnsi="Times New Roman" w:cs="Times New Roman"/>
      <w:sz w:val="21"/>
      <w:szCs w:val="21"/>
      <w:shd w:val="clear" w:color="auto" w:fill="FFFFFF"/>
    </w:rPr>
  </w:style>
  <w:style w:type="character" w:customStyle="1" w:styleId="CuerpodeltextoCursiva">
    <w:name w:val="Cuerpo del texto + Cursiva"/>
    <w:basedOn w:val="Cuerpodeltexto"/>
    <w:rsid w:val="00F917A5"/>
    <w:rPr>
      <w:rFonts w:ascii="Times New Roman" w:eastAsia="Times New Roman" w:hAnsi="Times New Roman" w:cs="Times New Roman"/>
      <w:i/>
      <w:iCs/>
      <w:color w:val="000000"/>
      <w:spacing w:val="0"/>
      <w:w w:val="100"/>
      <w:position w:val="0"/>
      <w:sz w:val="21"/>
      <w:szCs w:val="21"/>
      <w:shd w:val="clear" w:color="auto" w:fill="FFFFFF"/>
      <w:lang w:val="es-ES" w:eastAsia="es-ES" w:bidi="es-ES"/>
    </w:rPr>
  </w:style>
  <w:style w:type="paragraph" w:customStyle="1" w:styleId="Cuerpodeltexto0">
    <w:name w:val="Cuerpo del texto"/>
    <w:basedOn w:val="Normal"/>
    <w:link w:val="Cuerpodeltexto"/>
    <w:rsid w:val="00F917A5"/>
    <w:pPr>
      <w:widowControl w:val="0"/>
      <w:shd w:val="clear" w:color="auto" w:fill="FFFFFF"/>
      <w:spacing w:before="360" w:after="180" w:line="349" w:lineRule="exact"/>
      <w:jc w:val="both"/>
    </w:pPr>
    <w:rPr>
      <w:rFonts w:ascii="Times New Roman" w:eastAsia="Times New Roman" w:hAnsi="Times New Roman" w:cs="Times New Roman"/>
      <w:sz w:val="21"/>
      <w:szCs w:val="21"/>
    </w:rPr>
  </w:style>
  <w:style w:type="character" w:styleId="Hipervnculo">
    <w:name w:val="Hyperlink"/>
    <w:basedOn w:val="Fuentedeprrafopredeter"/>
    <w:uiPriority w:val="99"/>
    <w:unhideWhenUsed/>
    <w:rsid w:val="001E3567"/>
    <w:rPr>
      <w:color w:val="0000FF" w:themeColor="hyperlink"/>
      <w:u w:val="single"/>
    </w:rPr>
  </w:style>
  <w:style w:type="paragraph" w:styleId="Prrafodelista">
    <w:name w:val="List Paragraph"/>
    <w:basedOn w:val="Normal"/>
    <w:uiPriority w:val="34"/>
    <w:qFormat/>
    <w:rsid w:val="007360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A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06A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06A65"/>
  </w:style>
  <w:style w:type="paragraph" w:styleId="Encabezado">
    <w:name w:val="header"/>
    <w:basedOn w:val="Normal"/>
    <w:link w:val="EncabezadoCar"/>
    <w:uiPriority w:val="99"/>
    <w:unhideWhenUsed/>
    <w:rsid w:val="00006A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06A65"/>
  </w:style>
  <w:style w:type="character" w:customStyle="1" w:styleId="Cuerpodeltexto">
    <w:name w:val="Cuerpo del texto_"/>
    <w:basedOn w:val="Fuentedeprrafopredeter"/>
    <w:link w:val="Cuerpodeltexto0"/>
    <w:rsid w:val="00F917A5"/>
    <w:rPr>
      <w:rFonts w:ascii="Times New Roman" w:eastAsia="Times New Roman" w:hAnsi="Times New Roman" w:cs="Times New Roman"/>
      <w:sz w:val="21"/>
      <w:szCs w:val="21"/>
      <w:shd w:val="clear" w:color="auto" w:fill="FFFFFF"/>
    </w:rPr>
  </w:style>
  <w:style w:type="character" w:customStyle="1" w:styleId="CuerpodeltextoCursiva">
    <w:name w:val="Cuerpo del texto + Cursiva"/>
    <w:basedOn w:val="Cuerpodeltexto"/>
    <w:rsid w:val="00F917A5"/>
    <w:rPr>
      <w:rFonts w:ascii="Times New Roman" w:eastAsia="Times New Roman" w:hAnsi="Times New Roman" w:cs="Times New Roman"/>
      <w:i/>
      <w:iCs/>
      <w:color w:val="000000"/>
      <w:spacing w:val="0"/>
      <w:w w:val="100"/>
      <w:position w:val="0"/>
      <w:sz w:val="21"/>
      <w:szCs w:val="21"/>
      <w:shd w:val="clear" w:color="auto" w:fill="FFFFFF"/>
      <w:lang w:val="es-ES" w:eastAsia="es-ES" w:bidi="es-ES"/>
    </w:rPr>
  </w:style>
  <w:style w:type="paragraph" w:customStyle="1" w:styleId="Cuerpodeltexto0">
    <w:name w:val="Cuerpo del texto"/>
    <w:basedOn w:val="Normal"/>
    <w:link w:val="Cuerpodeltexto"/>
    <w:rsid w:val="00F917A5"/>
    <w:pPr>
      <w:widowControl w:val="0"/>
      <w:shd w:val="clear" w:color="auto" w:fill="FFFFFF"/>
      <w:spacing w:before="360" w:after="180" w:line="349" w:lineRule="exact"/>
      <w:jc w:val="both"/>
    </w:pPr>
    <w:rPr>
      <w:rFonts w:ascii="Times New Roman" w:eastAsia="Times New Roman" w:hAnsi="Times New Roman" w:cs="Times New Roman"/>
      <w:sz w:val="21"/>
      <w:szCs w:val="21"/>
    </w:rPr>
  </w:style>
  <w:style w:type="character" w:styleId="Hipervnculo">
    <w:name w:val="Hyperlink"/>
    <w:basedOn w:val="Fuentedeprrafopredeter"/>
    <w:uiPriority w:val="99"/>
    <w:unhideWhenUsed/>
    <w:rsid w:val="001E3567"/>
    <w:rPr>
      <w:color w:val="0000FF" w:themeColor="hyperlink"/>
      <w:u w:val="single"/>
    </w:rPr>
  </w:style>
  <w:style w:type="paragraph" w:styleId="Prrafodelista">
    <w:name w:val="List Paragraph"/>
    <w:basedOn w:val="Normal"/>
    <w:uiPriority w:val="34"/>
    <w:qFormat/>
    <w:rsid w:val="007360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transparencia.gob.sv/institutions/migobdt/documents/indice-de-informacion-reservada"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05F70-295C-42DC-AF39-F24C2FEC7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Pages>
  <Words>880</Words>
  <Characters>4844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Yahamaleth Calderon Espinoza</dc:creator>
  <cp:lastModifiedBy>Graciela María Gómez Varela</cp:lastModifiedBy>
  <cp:revision>7</cp:revision>
  <cp:lastPrinted>2018-02-28T16:50:00Z</cp:lastPrinted>
  <dcterms:created xsi:type="dcterms:W3CDTF">2018-02-27T22:34:00Z</dcterms:created>
  <dcterms:modified xsi:type="dcterms:W3CDTF">2018-06-19T15:25:00Z</dcterms:modified>
</cp:coreProperties>
</file>