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CA631B" w:rsidRPr="00261C92" w:rsidTr="001D664B">
        <w:tc>
          <w:tcPr>
            <w:tcW w:w="2881" w:type="dxa"/>
            <w:hideMark/>
          </w:tcPr>
          <w:p w:rsidR="00CA631B" w:rsidRPr="00261C92" w:rsidRDefault="00CA631B" w:rsidP="001D664B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2881" w:type="dxa"/>
            <w:hideMark/>
          </w:tcPr>
          <w:p w:rsidR="00CA631B" w:rsidRPr="00261C92" w:rsidRDefault="00CA631B" w:rsidP="001D664B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  <w:lang w:val="es-ES" w:eastAsia="es-ES"/>
              </w:rPr>
            </w:pPr>
            <w:bookmarkStart w:id="0" w:name="_GoBack"/>
            <w:r w:rsidRPr="00261C92">
              <w:rPr>
                <w:rFonts w:ascii="Book Antiqua" w:hAnsi="Book Antiqua"/>
                <w:noProof/>
                <w:sz w:val="2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E8EF50" wp14:editId="23318C62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657860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882" w:type="dxa"/>
            <w:hideMark/>
          </w:tcPr>
          <w:p w:rsidR="00CA631B" w:rsidRPr="00261C92" w:rsidRDefault="00CA631B" w:rsidP="001D664B">
            <w:pPr>
              <w:spacing w:after="0"/>
              <w:rPr>
                <w:rFonts w:ascii="Book Antiqua" w:hAnsi="Book Antiqua" w:cs="Times New Roman"/>
                <w:sz w:val="20"/>
              </w:rPr>
            </w:pPr>
          </w:p>
        </w:tc>
      </w:tr>
      <w:tr w:rsidR="00CA631B" w:rsidRPr="00261C92" w:rsidTr="001D664B">
        <w:tc>
          <w:tcPr>
            <w:tcW w:w="8644" w:type="dxa"/>
            <w:gridSpan w:val="3"/>
            <w:hideMark/>
          </w:tcPr>
          <w:p w:rsidR="00CA631B" w:rsidRPr="00261C92" w:rsidRDefault="00CA631B" w:rsidP="001D664B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</w:pPr>
            <w:r w:rsidRPr="00261C92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MINISTERIO DE GOBERNACIÓN Y DESARROLLO TERRITORIAL</w:t>
            </w:r>
          </w:p>
          <w:p w:rsidR="00CA631B" w:rsidRPr="00261C92" w:rsidRDefault="00CA631B" w:rsidP="001D66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3"/>
                <w:lang w:val="es-ES" w:eastAsia="es-ES"/>
              </w:rPr>
            </w:pPr>
            <w:r w:rsidRPr="00261C92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CA631B" w:rsidRPr="00261C92" w:rsidRDefault="00CA631B" w:rsidP="00CA631B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</w:p>
    <w:p w:rsidR="00066ED1" w:rsidRPr="00261C92" w:rsidRDefault="00CA631B" w:rsidP="00894164">
      <w:pPr>
        <w:spacing w:after="0"/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RESOLUCIÓN NÚMERO </w:t>
      </w:r>
      <w:r w:rsidR="00655EAD"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CIENTO </w:t>
      </w:r>
      <w:r w:rsidR="00453DF2"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OCHENTA Y CUATRO, </w:t>
      </w:r>
      <w:r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NÚMERO CORRELATIVO </w:t>
      </w:r>
      <w:r w:rsidRPr="00261C92">
        <w:rPr>
          <w:rFonts w:ascii="Book Antiqua" w:hAnsi="Book Antiqua"/>
          <w:b/>
          <w:sz w:val="24"/>
          <w:szCs w:val="23"/>
        </w:rPr>
        <w:t>MIGOB-2017-0188</w:t>
      </w:r>
      <w:r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San Salvador a las catorce horas con treinta </w:t>
      </w:r>
      <w:r w:rsidR="00453DF2" w:rsidRPr="00261C92">
        <w:rPr>
          <w:rFonts w:ascii="Book Antiqua" w:eastAsia="Times New Roman" w:hAnsi="Book Antiqua"/>
          <w:sz w:val="24"/>
          <w:szCs w:val="23"/>
          <w:lang w:val="es-ES" w:eastAsia="es-ES"/>
        </w:rPr>
        <w:t>minutos del día diecinueve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de d</w:t>
      </w:r>
      <w:r w:rsidR="00C02C56"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iciembre de dos mil diecisiete. </w:t>
      </w:r>
      <w:r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>CONSIDERANDO: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</w:t>
      </w:r>
      <w:r w:rsidRPr="00261C92">
        <w:rPr>
          <w:rFonts w:ascii="Book Antiqua" w:eastAsia="Times New Roman" w:hAnsi="Book Antiqua"/>
          <w:b/>
          <w:sz w:val="24"/>
          <w:szCs w:val="23"/>
          <w:lang w:val="es-ES" w:eastAsia="es-ES"/>
        </w:rPr>
        <w:t>I.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Que habién</w:t>
      </w:r>
      <w:r w:rsidR="00453DF2"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dose presentado solicitud a la 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>Unidad de Acceso a la Información  de esta Secretaria de Estado por:</w:t>
      </w:r>
      <w:r w:rsidRPr="00261C92">
        <w:rPr>
          <w:rFonts w:ascii="Book Antiqua" w:hAnsi="Book Antiqua"/>
          <w:sz w:val="24"/>
          <w:szCs w:val="23"/>
          <w:lang w:val="es-ES"/>
        </w:rPr>
        <w:t xml:space="preserve"> </w:t>
      </w:r>
      <w:r w:rsidR="00261C92" w:rsidRPr="00261C92">
        <w:rPr>
          <w:rFonts w:ascii="Book Antiqua" w:hAnsi="Book Antiqua"/>
          <w:b/>
          <w:sz w:val="24"/>
          <w:szCs w:val="23"/>
        </w:rPr>
        <w:t>XXXXXXXXXXXXXXX</w:t>
      </w:r>
      <w:r w:rsidRPr="00261C92">
        <w:rPr>
          <w:rFonts w:ascii="Book Antiqua" w:hAnsi="Book Antiqua"/>
          <w:b/>
          <w:sz w:val="24"/>
          <w:szCs w:val="23"/>
        </w:rPr>
        <w:t xml:space="preserve">, </w:t>
      </w:r>
      <w:r w:rsidRPr="00261C92">
        <w:rPr>
          <w:rFonts w:ascii="Book Antiqua" w:hAnsi="Book Antiqua"/>
          <w:sz w:val="24"/>
          <w:szCs w:val="23"/>
        </w:rPr>
        <w:t xml:space="preserve">el día 12 de diciembre </w:t>
      </w:r>
      <w:r w:rsidRPr="00261C92">
        <w:rPr>
          <w:rFonts w:ascii="Book Antiqua" w:eastAsia="Times New Roman" w:hAnsi="Book Antiqua"/>
          <w:bCs/>
          <w:sz w:val="24"/>
          <w:szCs w:val="23"/>
          <w:lang w:val="es-ES" w:eastAsia="es-ES"/>
        </w:rPr>
        <w:t>del año 2017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>. En la cual requiere: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 “1 Periodo para poder aplicar a la licitación de seguros automotrices de vehículos institucionales para 2018.  2. Remisión de formularios de licitación para poder aplicar a la licitación de seguros automotrices para 2018.” </w:t>
      </w:r>
      <w:r w:rsidRPr="00261C92">
        <w:rPr>
          <w:rFonts w:ascii="Book Antiqua" w:eastAsia="Times New Roman" w:hAnsi="Book Antiqua"/>
          <w:b/>
          <w:sz w:val="24"/>
          <w:szCs w:val="23"/>
          <w:lang w:eastAsia="es-ES"/>
        </w:rPr>
        <w:t>II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. </w:t>
      </w:r>
      <w:r w:rsidRPr="00261C92">
        <w:rPr>
          <w:rFonts w:ascii="Book Antiqua" w:eastAsia="Times New Roman" w:hAnsi="Book Antiqua"/>
          <w:sz w:val="24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</w:t>
      </w:r>
      <w:r w:rsidR="00453DF2" w:rsidRPr="00261C92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lamento de la Ley antes citada. </w:t>
      </w:r>
      <w:r w:rsidRPr="00261C92">
        <w:rPr>
          <w:rFonts w:ascii="Book Antiqua" w:eastAsia="Times New Roman" w:hAnsi="Book Antiqua"/>
          <w:b/>
          <w:sz w:val="24"/>
          <w:szCs w:val="23"/>
          <w:lang w:eastAsia="es-ES"/>
        </w:rPr>
        <w:t>III.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 Conforme artículo </w:t>
      </w:r>
      <w:r w:rsidR="00453DF2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55 del Reglamento de 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>la LAIP</w:t>
      </w:r>
      <w:r w:rsidR="00453DF2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 en relación al Art. 70 de la mencionada normativa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, se </w:t>
      </w:r>
      <w:r w:rsidR="00453DF2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 solicitó colaboración para el análisis de la solicitud y en su caso localización  de la información 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a la </w:t>
      </w:r>
      <w:r w:rsidR="00453DF2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Dirección de  la </w:t>
      </w: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Unidad de Adquisiciones y Contrataciones Institucional quien informa lo siguiente: </w:t>
      </w:r>
      <w:r w:rsidRPr="00261C92">
        <w:rPr>
          <w:rFonts w:ascii="Book Antiqua" w:eastAsia="Times New Roman" w:hAnsi="Book Antiqua"/>
          <w:i/>
          <w:sz w:val="24"/>
          <w:szCs w:val="23"/>
          <w:lang w:eastAsia="es-ES"/>
        </w:rPr>
        <w:t>“Que como respetuosos y garantes del fiel cumplimiento de la Ley de Adquisiciones y Contrataciones de la Administración Pública (LACAP), la cual no permite para lo antes solicitado brindar ninguna información, a razón de encontrarse el proceso actualmente en desarrollo, por lo que a continuación se detalla textualmente lo dispuesto en art. 54 de la LACAP, el cual nos menciona en su primer inciso.</w:t>
      </w:r>
      <w:r w:rsidR="00453DF2" w:rsidRPr="00261C92">
        <w:rPr>
          <w:rFonts w:ascii="Book Antiqua" w:eastAsia="Times New Roman" w:hAnsi="Book Antiqua"/>
          <w:i/>
          <w:sz w:val="24"/>
          <w:szCs w:val="23"/>
          <w:lang w:eastAsia="es-ES"/>
        </w:rPr>
        <w:t xml:space="preserve">-- </w:t>
      </w:r>
      <w:r w:rsidRPr="00261C92">
        <w:rPr>
          <w:rFonts w:ascii="Book Antiqua" w:eastAsia="Times New Roman" w:hAnsi="Book Antiqua"/>
          <w:b/>
          <w:i/>
          <w:sz w:val="24"/>
          <w:szCs w:val="23"/>
          <w:lang w:eastAsia="es-ES"/>
        </w:rPr>
        <w:t>Prohibiciones:</w:t>
      </w:r>
      <w:r w:rsidR="00453DF2" w:rsidRPr="00261C92">
        <w:rPr>
          <w:rFonts w:ascii="Book Antiqua" w:eastAsia="Times New Roman" w:hAnsi="Book Antiqua"/>
          <w:b/>
          <w:i/>
          <w:sz w:val="24"/>
          <w:szCs w:val="23"/>
          <w:lang w:eastAsia="es-ES"/>
        </w:rPr>
        <w:t xml:space="preserve"> --</w:t>
      </w:r>
      <w:r w:rsidRPr="00261C92">
        <w:rPr>
          <w:rFonts w:ascii="Book Antiqua" w:eastAsia="Times New Roman" w:hAnsi="Book Antiqua"/>
          <w:i/>
          <w:sz w:val="24"/>
          <w:szCs w:val="23"/>
          <w:lang w:eastAsia="es-ES"/>
        </w:rPr>
        <w:t xml:space="preserve">Art. 54.- después de la apertura de las ofertas y antes de la notificación del resultado del proceso, no se brindará información alguna con respecto al examen, tabulación, aclaración y evaluación de las ofertas y las recomendaciones relativas a las adjudicaciones de las mismas; a ninguna persona o personas que no estén vinculadas en el proceso de análisis y evaluación de ofertas. </w:t>
      </w:r>
      <w:r w:rsidRPr="00261C92">
        <w:rPr>
          <w:rFonts w:ascii="Book Antiqua" w:eastAsia="Times New Roman" w:hAnsi="Book Antiqua"/>
          <w:i/>
          <w:sz w:val="24"/>
          <w:szCs w:val="23"/>
          <w:lang w:eastAsia="es-ES"/>
        </w:rPr>
        <w:lastRenderedPageBreak/>
        <w:t>Esto se aplica tanto a funcionarios o empleados de la institución contratante, como a personal relacionado con las empresas ofertantes, la infracción a la anterior prohibición dará lugar a la aplicación de las sanciones correspondientes.”</w:t>
      </w:r>
      <w:r w:rsidR="00453DF2" w:rsidRPr="00261C92">
        <w:rPr>
          <w:rFonts w:ascii="Book Antiqua" w:eastAsia="Times New Roman" w:hAnsi="Book Antiqua"/>
          <w:i/>
          <w:sz w:val="24"/>
          <w:szCs w:val="23"/>
          <w:lang w:eastAsia="es-ES"/>
        </w:rPr>
        <w:t xml:space="preserve">. </w:t>
      </w:r>
      <w:r w:rsidR="00BC530B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IV. </w:t>
      </w:r>
      <w:r w:rsidR="00453DF2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Que conforme a lo mencionado por la Unidad Administrativa, la infrascrita Oficial de Información </w:t>
      </w:r>
      <w:r w:rsidR="00C02C56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procedió a verificar el  Índice de </w:t>
      </w:r>
      <w:r w:rsidR="00DF4560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 Información Declarada como Reservada, verificando que en correlativo número 1, como parte del detalle de información o documento a reservar se encuentra: “expediente de proceso de contratación, licitación, contratación directa, libre gestión, consultoría y las adjudicaciones” </w:t>
      </w:r>
      <w:r w:rsidR="009B0E7D" w:rsidRPr="00261C92">
        <w:rPr>
          <w:rFonts w:ascii="Book Antiqua" w:eastAsia="Times New Roman" w:hAnsi="Book Antiqua"/>
          <w:sz w:val="24"/>
          <w:szCs w:val="23"/>
          <w:lang w:eastAsia="es-ES"/>
        </w:rPr>
        <w:t>, asimismo, se establece la justificación a dicha declaración de reserva la siguiente: Art. 19 literal h de la Ley de Acceso a la Información Pública “la que pueda generar una ventaja  indebida a una persona en perjuicio”</w:t>
      </w:r>
      <w:r w:rsidR="00F04F36" w:rsidRPr="00261C92">
        <w:rPr>
          <w:rFonts w:ascii="Book Antiqua" w:eastAsia="Times New Roman" w:hAnsi="Book Antiqua"/>
          <w:sz w:val="24"/>
          <w:szCs w:val="23"/>
          <w:lang w:eastAsia="es-ES"/>
        </w:rPr>
        <w:t>, es de agregar, que se entiende por ventaja indebida  aquella que permita al solicitante en virtud de la naturaleza o el momento</w:t>
      </w:r>
      <w:r w:rsidR="00007CFB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, información que no es licito </w:t>
      </w:r>
      <w:r w:rsidR="00894164" w:rsidRPr="00261C92">
        <w:rPr>
          <w:rFonts w:ascii="Book Antiqua" w:eastAsia="Times New Roman" w:hAnsi="Book Antiqua"/>
          <w:sz w:val="24"/>
          <w:szCs w:val="23"/>
          <w:lang w:eastAsia="es-ES"/>
        </w:rPr>
        <w:t>que obtenga ya que presenta de forma razonable y suficiente un beneficio de información que no está expresamente regulado o bien que exista legislación que prohíbe la divulgación por temas de claro interés</w:t>
      </w:r>
      <w:r w:rsidR="00066ED1"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, en el  presente caso se ha citado la normativa pertinente que prohíbe la divulgación de dicha información, Art. 54 de la </w:t>
      </w:r>
    </w:p>
    <w:p w:rsidR="00CA631B" w:rsidRPr="00261C92" w:rsidRDefault="00066ED1" w:rsidP="00894164">
      <w:pPr>
        <w:spacing w:after="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  <w:r w:rsidRPr="00261C92">
        <w:rPr>
          <w:rFonts w:ascii="Book Antiqua" w:eastAsia="Times New Roman" w:hAnsi="Book Antiqua"/>
          <w:sz w:val="24"/>
          <w:szCs w:val="23"/>
          <w:lang w:eastAsia="es-ES"/>
        </w:rPr>
        <w:t xml:space="preserve">Ley de Adquisiciones y Contrataciones de la Administración Pública, aunado, a las razones justificadas por la Ley de Acceso a la Información Pública que se han expresado. </w:t>
      </w:r>
      <w:r w:rsidR="00CA631B" w:rsidRPr="00261C92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="00CA631B"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</w:t>
      </w:r>
      <w:r w:rsidR="00894164"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°</w:t>
      </w:r>
      <w:r w:rsidR="00CA631B"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de la Constitución, y Art. 2 y Arts. 7, 9, 50, 62 y 72 de la Ley de Acceso a la Información Pública, esta dependencia</w:t>
      </w:r>
      <w:r w:rsidRPr="00261C92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, RESUELVE: 1° NEGAR  EL ACCESO </w:t>
      </w:r>
      <w:r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a la información solicitada  por estar clasificada como reservada. </w:t>
      </w:r>
      <w:r w:rsidR="00CA631B" w:rsidRPr="00261C92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2</w:t>
      </w:r>
      <w:r w:rsidR="00CA631B"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° Remítase la presente por medio señalada para tal efecto. </w:t>
      </w:r>
      <w:r w:rsidR="00CA631B" w:rsidRPr="00261C92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="00CA631B" w:rsidRPr="00261C92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CA631B" w:rsidRPr="00261C92" w:rsidRDefault="00CA631B" w:rsidP="00CA631B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CA631B" w:rsidRPr="00261C92" w:rsidRDefault="00CA631B" w:rsidP="00CA631B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CA631B" w:rsidRPr="00261C92" w:rsidRDefault="00CA631B" w:rsidP="00CA631B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CA631B" w:rsidRPr="00261C92" w:rsidRDefault="00CA631B" w:rsidP="00CA631B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261C92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CA631B" w:rsidRPr="00261C92" w:rsidRDefault="00CA631B" w:rsidP="00CA631B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261C92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p w:rsidR="00CA631B" w:rsidRPr="00261C92" w:rsidRDefault="00CA631B" w:rsidP="00CA631B">
      <w:pPr>
        <w:rPr>
          <w:rFonts w:ascii="Book Antiqua" w:hAnsi="Book Antiqua"/>
          <w:lang w:val="es-ES_tradnl"/>
        </w:rPr>
      </w:pPr>
    </w:p>
    <w:p w:rsidR="00B44372" w:rsidRPr="00261C92" w:rsidRDefault="00B44372">
      <w:pPr>
        <w:rPr>
          <w:rFonts w:ascii="Book Antiqua" w:hAnsi="Book Antiqua"/>
          <w:lang w:val="es-ES_tradnl"/>
        </w:rPr>
      </w:pPr>
    </w:p>
    <w:sectPr w:rsidR="00B44372" w:rsidRPr="00261C92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3C" w:rsidRDefault="00E2303C">
      <w:pPr>
        <w:spacing w:after="0" w:line="240" w:lineRule="auto"/>
      </w:pPr>
      <w:r>
        <w:separator/>
      </w:r>
    </w:p>
  </w:endnote>
  <w:endnote w:type="continuationSeparator" w:id="0">
    <w:p w:rsidR="00E2303C" w:rsidRDefault="00E2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655EA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655EAD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655EA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655EAD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EC10CB6" wp14:editId="5F117536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E2303C" w:rsidP="00B05C30">
    <w:pPr>
      <w:pStyle w:val="Piedepgina"/>
    </w:pPr>
  </w:p>
  <w:p w:rsidR="00B05C30" w:rsidRPr="00523838" w:rsidRDefault="00E2303C" w:rsidP="00B05C30">
    <w:pPr>
      <w:pStyle w:val="Piedepgina"/>
    </w:pPr>
  </w:p>
  <w:p w:rsidR="007D4A17" w:rsidRDefault="00E230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3C" w:rsidRDefault="00E2303C">
      <w:pPr>
        <w:spacing w:after="0" w:line="240" w:lineRule="auto"/>
      </w:pPr>
      <w:r>
        <w:separator/>
      </w:r>
    </w:p>
  </w:footnote>
  <w:footnote w:type="continuationSeparator" w:id="0">
    <w:p w:rsidR="00E2303C" w:rsidRDefault="00E2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92" w:rsidRDefault="00261C92" w:rsidP="00261C92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261C92" w:rsidRPr="00261C92" w:rsidRDefault="00261C92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1B"/>
    <w:rsid w:val="00007CFB"/>
    <w:rsid w:val="00066ED1"/>
    <w:rsid w:val="00261C92"/>
    <w:rsid w:val="00423163"/>
    <w:rsid w:val="00453DF2"/>
    <w:rsid w:val="004F1E37"/>
    <w:rsid w:val="00655EAD"/>
    <w:rsid w:val="00894164"/>
    <w:rsid w:val="009B0E7D"/>
    <w:rsid w:val="00B347DF"/>
    <w:rsid w:val="00B44372"/>
    <w:rsid w:val="00BC530B"/>
    <w:rsid w:val="00C02C56"/>
    <w:rsid w:val="00CA631B"/>
    <w:rsid w:val="00DF4560"/>
    <w:rsid w:val="00E2303C"/>
    <w:rsid w:val="00F04F36"/>
    <w:rsid w:val="00F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6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31B"/>
  </w:style>
  <w:style w:type="paragraph" w:styleId="Textodeglobo">
    <w:name w:val="Balloon Text"/>
    <w:basedOn w:val="Normal"/>
    <w:link w:val="TextodegloboCar"/>
    <w:uiPriority w:val="99"/>
    <w:semiHidden/>
    <w:unhideWhenUsed/>
    <w:rsid w:val="00F0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F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1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6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31B"/>
  </w:style>
  <w:style w:type="paragraph" w:styleId="Textodeglobo">
    <w:name w:val="Balloon Text"/>
    <w:basedOn w:val="Normal"/>
    <w:link w:val="TextodegloboCar"/>
    <w:uiPriority w:val="99"/>
    <w:semiHidden/>
    <w:unhideWhenUsed/>
    <w:rsid w:val="00F0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F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1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2017-12-20T20:22:00Z</cp:lastPrinted>
  <dcterms:created xsi:type="dcterms:W3CDTF">2018-06-11T20:33:00Z</dcterms:created>
  <dcterms:modified xsi:type="dcterms:W3CDTF">2018-06-11T20:33:00Z</dcterms:modified>
</cp:coreProperties>
</file>