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AD1B5B" w:rsidTr="002C47A3">
        <w:tc>
          <w:tcPr>
            <w:tcW w:w="2881" w:type="dxa"/>
            <w:hideMark/>
          </w:tcPr>
          <w:p w:rsidR="00AD1B5B" w:rsidRPr="008D50B9" w:rsidRDefault="00AD1B5B" w:rsidP="008D50B9">
            <w:pPr>
              <w:pStyle w:val="Ttulo1"/>
            </w:pPr>
          </w:p>
        </w:tc>
        <w:tc>
          <w:tcPr>
            <w:tcW w:w="2881" w:type="dxa"/>
            <w:hideMark/>
          </w:tcPr>
          <w:p w:rsidR="00AD1B5B" w:rsidRDefault="00AD1B5B" w:rsidP="002C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0BDD877" wp14:editId="5E25FED5">
                  <wp:simplePos x="0" y="0"/>
                  <wp:positionH relativeFrom="margin">
                    <wp:posOffset>385445</wp:posOffset>
                  </wp:positionH>
                  <wp:positionV relativeFrom="margin">
                    <wp:posOffset>38735</wp:posOffset>
                  </wp:positionV>
                  <wp:extent cx="1822450" cy="1072515"/>
                  <wp:effectExtent l="0" t="0" r="635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AD1B5B" w:rsidRDefault="00AD1B5B" w:rsidP="002C47A3">
            <w:pPr>
              <w:spacing w:after="0"/>
              <w:rPr>
                <w:rFonts w:cs="Times New Roman"/>
              </w:rPr>
            </w:pPr>
          </w:p>
        </w:tc>
      </w:tr>
      <w:tr w:rsidR="00AD1B5B" w:rsidRPr="00211EDD" w:rsidTr="002C47A3">
        <w:tc>
          <w:tcPr>
            <w:tcW w:w="8644" w:type="dxa"/>
            <w:gridSpan w:val="3"/>
            <w:hideMark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8643"/>
            </w:tblGrid>
            <w:tr w:rsidR="00AD1B5B" w:rsidRPr="00211EDD" w:rsidTr="002C47A3">
              <w:tc>
                <w:tcPr>
                  <w:tcW w:w="8644" w:type="dxa"/>
                  <w:hideMark/>
                </w:tcPr>
                <w:p w:rsidR="00AD1B5B" w:rsidRPr="008D50B9" w:rsidRDefault="00AD1B5B" w:rsidP="002C47A3">
                  <w:pPr>
                    <w:spacing w:after="0" w:line="240" w:lineRule="auto"/>
                    <w:ind w:right="-361"/>
                    <w:jc w:val="center"/>
                    <w:rPr>
                      <w:rFonts w:ascii="Book Antiqua" w:eastAsia="Times New Roman" w:hAnsi="Book Antiqua" w:cs="Times New Roman"/>
                      <w:b/>
                      <w:noProof/>
                      <w:sz w:val="24"/>
                      <w:szCs w:val="24"/>
                      <w:lang w:val="es-ES" w:eastAsia="es-ES"/>
                    </w:rPr>
                  </w:pPr>
                  <w:r w:rsidRPr="008D50B9">
                    <w:rPr>
                      <w:rFonts w:ascii="Book Antiqua" w:eastAsia="Times New Roman" w:hAnsi="Book Antiqua" w:cs="Times New Roman"/>
                      <w:b/>
                      <w:noProof/>
                      <w:sz w:val="24"/>
                      <w:szCs w:val="24"/>
                      <w:lang w:val="es-ES" w:eastAsia="es-ES"/>
                    </w:rPr>
                    <w:t>MINISTERIO DE GOBERNACIÓN Y DESARROLLO TERRITORIAL</w:t>
                  </w:r>
                </w:p>
                <w:p w:rsidR="00AD1B5B" w:rsidRPr="00211EDD" w:rsidRDefault="00AD1B5B" w:rsidP="002C47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s-ES" w:eastAsia="es-ES"/>
                    </w:rPr>
                  </w:pPr>
                  <w:r w:rsidRPr="008D50B9">
                    <w:rPr>
                      <w:rFonts w:ascii="Book Antiqua" w:eastAsia="Times New Roman" w:hAnsi="Book Antiqua" w:cs="Times New Roman"/>
                      <w:b/>
                      <w:noProof/>
                      <w:sz w:val="24"/>
                      <w:szCs w:val="24"/>
                      <w:lang w:val="es-ES" w:eastAsia="es-ES"/>
                    </w:rPr>
                    <w:t>REPÚBLICA DE EL SALVADOR, AMÉRICA CENTRAL</w:t>
                  </w:r>
                </w:p>
              </w:tc>
            </w:tr>
          </w:tbl>
          <w:p w:rsidR="00AD1B5B" w:rsidRPr="00211EDD" w:rsidRDefault="00AD1B5B" w:rsidP="002C47A3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</w:tbl>
    <w:p w:rsidR="00AD1B5B" w:rsidRPr="00211EDD" w:rsidRDefault="00AD1B5B" w:rsidP="00AD1B5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1B5B" w:rsidRPr="00F05E77" w:rsidRDefault="00AD1B5B" w:rsidP="008D50B9">
      <w:pPr>
        <w:spacing w:line="240" w:lineRule="auto"/>
        <w:jc w:val="both"/>
        <w:rPr>
          <w:rFonts w:ascii="Book Antiqua" w:eastAsia="Times New Roman" w:hAnsi="Book Antiqua" w:cs="Times New Roman"/>
          <w:lang w:eastAsia="es-ES"/>
        </w:rPr>
      </w:pPr>
      <w:r w:rsidRPr="008D50B9">
        <w:rPr>
          <w:rFonts w:ascii="Book Antiqua" w:eastAsia="Times New Roman" w:hAnsi="Book Antiqua" w:cs="Times New Roman"/>
          <w:b/>
          <w:lang w:val="es-ES" w:eastAsia="es-ES"/>
        </w:rPr>
        <w:t>RESOLUCIÓN NÚMERO</w:t>
      </w:r>
      <w:r w:rsidR="008D50B9" w:rsidRPr="008D50B9">
        <w:rPr>
          <w:rFonts w:ascii="Book Antiqua" w:eastAsia="Times New Roman" w:hAnsi="Book Antiqua" w:cs="Times New Roman"/>
          <w:b/>
          <w:color w:val="FF0000"/>
          <w:lang w:val="es-ES" w:eastAsia="es-ES"/>
        </w:rPr>
        <w:t xml:space="preserve"> </w:t>
      </w:r>
      <w:r w:rsidR="008E077A">
        <w:rPr>
          <w:rFonts w:ascii="Book Antiqua" w:eastAsia="Times New Roman" w:hAnsi="Book Antiqua" w:cs="Times New Roman"/>
          <w:b/>
          <w:lang w:val="es-ES" w:eastAsia="es-ES"/>
        </w:rPr>
        <w:t>CIENTO VEINTIUNO</w:t>
      </w:r>
      <w:r w:rsidRPr="008D50B9">
        <w:rPr>
          <w:rFonts w:ascii="Book Antiqua" w:eastAsia="Times New Roman" w:hAnsi="Book Antiqua" w:cs="Times New Roman"/>
          <w:b/>
          <w:lang w:val="es-ES" w:eastAsia="es-ES"/>
        </w:rPr>
        <w:t xml:space="preserve">, NÚMERO CORRELATIVO </w:t>
      </w:r>
      <w:r w:rsidRPr="008D50B9">
        <w:rPr>
          <w:rFonts w:ascii="Book Antiqua" w:hAnsi="Book Antiqua" w:cs="Times New Roman"/>
          <w:b/>
        </w:rPr>
        <w:t>MIGOB</w:t>
      </w:r>
      <w:r w:rsidR="008D50B9">
        <w:rPr>
          <w:rFonts w:ascii="Book Antiqua" w:hAnsi="Book Antiqua" w:cs="Times New Roman"/>
          <w:b/>
        </w:rPr>
        <w:t>DT</w:t>
      </w:r>
      <w:r w:rsidRPr="008D50B9">
        <w:rPr>
          <w:rFonts w:ascii="Book Antiqua" w:hAnsi="Book Antiqua" w:cs="Times New Roman"/>
          <w:b/>
        </w:rPr>
        <w:t xml:space="preserve">-2017-0125. </w:t>
      </w:r>
      <w:r w:rsidRPr="008D50B9">
        <w:rPr>
          <w:rFonts w:ascii="Book Antiqua" w:eastAsia="Times New Roman" w:hAnsi="Book Antiqua" w:cs="Times New Roman"/>
          <w:b/>
          <w:lang w:val="es-ES" w:eastAsia="es-ES"/>
        </w:rPr>
        <w:t xml:space="preserve">UNIDAD DE ACCESO A LA INFORMACIÓN DEL MINISTERIO DE GOBERNACIÓN Y DESARROLLO TERRITORIAL. </w:t>
      </w:r>
      <w:r w:rsidRPr="008D50B9">
        <w:rPr>
          <w:rFonts w:ascii="Book Antiqua" w:eastAsia="Times New Roman" w:hAnsi="Book Antiqua" w:cs="Times New Roman"/>
          <w:lang w:val="es-ES" w:eastAsia="es-ES"/>
        </w:rPr>
        <w:t>San Salvad</w:t>
      </w:r>
      <w:r w:rsidR="008D50B9" w:rsidRPr="008D50B9">
        <w:rPr>
          <w:rFonts w:ascii="Book Antiqua" w:eastAsia="Times New Roman" w:hAnsi="Book Antiqua" w:cs="Times New Roman"/>
          <w:lang w:val="es-ES" w:eastAsia="es-ES"/>
        </w:rPr>
        <w:t xml:space="preserve">or, a las diez horas con treinta </w:t>
      </w:r>
      <w:r w:rsidRPr="008D50B9">
        <w:rPr>
          <w:rFonts w:ascii="Book Antiqua" w:eastAsia="Times New Roman" w:hAnsi="Book Antiqua" w:cs="Times New Roman"/>
          <w:lang w:val="es-ES" w:eastAsia="es-ES"/>
        </w:rPr>
        <w:t xml:space="preserve">minutos del día </w:t>
      </w:r>
      <w:r w:rsidR="008D50B9" w:rsidRPr="008D50B9">
        <w:rPr>
          <w:rFonts w:ascii="Book Antiqua" w:eastAsia="Times New Roman" w:hAnsi="Book Antiqua" w:cs="Times New Roman"/>
          <w:lang w:val="es-ES" w:eastAsia="es-ES"/>
        </w:rPr>
        <w:t xml:space="preserve">veintiuno </w:t>
      </w:r>
      <w:r w:rsidRPr="008D50B9">
        <w:rPr>
          <w:rFonts w:ascii="Book Antiqua" w:eastAsia="Times New Roman" w:hAnsi="Book Antiqua" w:cs="Times New Roman"/>
          <w:lang w:val="es-ES" w:eastAsia="es-ES"/>
        </w:rPr>
        <w:t xml:space="preserve">de julio de dos mil diecisiete. </w:t>
      </w:r>
      <w:r w:rsidRPr="008D50B9">
        <w:rPr>
          <w:rFonts w:ascii="Book Antiqua" w:eastAsia="Times New Roman" w:hAnsi="Book Antiqua" w:cs="Times New Roman"/>
          <w:b/>
          <w:lang w:val="es-ES" w:eastAsia="es-ES"/>
        </w:rPr>
        <w:t>CONSIDERANDO:</w:t>
      </w:r>
      <w:r w:rsidRPr="008D50B9">
        <w:rPr>
          <w:rFonts w:ascii="Book Antiqua" w:eastAsia="Times New Roman" w:hAnsi="Book Antiqua" w:cs="Times New Roman"/>
          <w:lang w:val="es-ES" w:eastAsia="es-ES"/>
        </w:rPr>
        <w:t xml:space="preserve"> </w:t>
      </w:r>
      <w:r w:rsidRPr="008D50B9">
        <w:rPr>
          <w:rFonts w:ascii="Book Antiqua" w:eastAsia="Times New Roman" w:hAnsi="Book Antiqua" w:cs="Times New Roman"/>
          <w:b/>
          <w:lang w:val="es-ES" w:eastAsia="es-ES"/>
        </w:rPr>
        <w:t>I)</w:t>
      </w:r>
      <w:r w:rsidRPr="008D50B9">
        <w:rPr>
          <w:rFonts w:ascii="Book Antiqua" w:eastAsia="Times New Roman" w:hAnsi="Book Antiqua" w:cs="Times New Roman"/>
          <w:lang w:val="es-ES" w:eastAsia="es-ES"/>
        </w:rPr>
        <w:t xml:space="preserve"> Que habiéndose presentado solicitud a la  Unidad de Acceso a la Información  de esta Secretaria de Estado por:</w:t>
      </w:r>
      <w:r w:rsidR="008D50B9" w:rsidRPr="008D50B9">
        <w:rPr>
          <w:rFonts w:ascii="Book Antiqua" w:hAnsi="Book Antiqua" w:cs="Times New Roman"/>
          <w:b/>
        </w:rPr>
        <w:t xml:space="preserve"> </w:t>
      </w:r>
      <w:r w:rsidR="00B1224D">
        <w:rPr>
          <w:rFonts w:ascii="Book Antiqua" w:hAnsi="Book Antiqua"/>
          <w:b/>
        </w:rPr>
        <w:t>------------------------------------------------------------------</w:t>
      </w:r>
      <w:bookmarkStart w:id="0" w:name="_GoBack"/>
      <w:bookmarkEnd w:id="0"/>
      <w:r w:rsidRPr="008D50B9">
        <w:rPr>
          <w:rFonts w:ascii="Book Antiqua" w:hAnsi="Book Antiqua" w:cs="Times New Roman"/>
        </w:rPr>
        <w:t>, el día 17 de julio de 2017, en la que requiere información sobre: “Copia Autentica del informe en que se declaró Inhabitable el edificio legislativo a raíz de los terremotos del 2001 y copia de la supervisión arquitectónica después de reparado si lo hubiera</w:t>
      </w:r>
      <w:r w:rsidR="008D50B9">
        <w:rPr>
          <w:rFonts w:ascii="Book Antiqua" w:hAnsi="Book Antiqua" w:cs="Times New Roman"/>
        </w:rPr>
        <w:t>…</w:t>
      </w:r>
      <w:r w:rsidRPr="008D50B9">
        <w:rPr>
          <w:rFonts w:ascii="Book Antiqua" w:hAnsi="Book Antiqua" w:cs="Times New Roman"/>
        </w:rPr>
        <w:t>”</w:t>
      </w:r>
      <w:r w:rsidRPr="008D50B9">
        <w:rPr>
          <w:rFonts w:ascii="Book Antiqua" w:eastAsia="Times New Roman" w:hAnsi="Book Antiqua" w:cs="Times New Roman"/>
          <w:lang w:val="es-ES" w:eastAsia="es-ES"/>
        </w:rPr>
        <w:t xml:space="preserve"> </w:t>
      </w:r>
      <w:r w:rsidRPr="008D50B9">
        <w:rPr>
          <w:rFonts w:ascii="Book Antiqua" w:eastAsia="Times New Roman" w:hAnsi="Book Antiqua" w:cs="Times New Roman"/>
          <w:b/>
          <w:lang w:val="es-ES" w:eastAsia="es-ES"/>
        </w:rPr>
        <w:t>II</w:t>
      </w:r>
      <w:r w:rsidR="008D50B9">
        <w:rPr>
          <w:rFonts w:ascii="Book Antiqua" w:eastAsia="Times New Roman" w:hAnsi="Book Antiqua" w:cs="Times New Roman"/>
          <w:b/>
          <w:lang w:val="es-ES" w:eastAsia="es-ES"/>
        </w:rPr>
        <w:t xml:space="preserve">) </w:t>
      </w:r>
      <w:r w:rsidR="008D50B9" w:rsidRPr="008D50B9">
        <w:rPr>
          <w:rFonts w:ascii="Book Antiqua" w:eastAsia="Times New Roman" w:hAnsi="Book Antiqua" w:cs="Times New Roman"/>
          <w:lang w:val="es-ES" w:eastAsia="es-ES"/>
        </w:rPr>
        <w:t>Que dicha solicitud fue admitida por cumplir con los requisitos del Art. 66 de la Ley de A</w:t>
      </w:r>
      <w:r w:rsidR="00F05E77">
        <w:rPr>
          <w:rFonts w:ascii="Book Antiqua" w:eastAsia="Times New Roman" w:hAnsi="Book Antiqua" w:cs="Times New Roman"/>
          <w:lang w:val="es-ES" w:eastAsia="es-ES"/>
        </w:rPr>
        <w:t xml:space="preserve">cceso a la Información  Pública, LAIP. </w:t>
      </w:r>
      <w:r w:rsidR="008D50B9">
        <w:rPr>
          <w:rFonts w:ascii="Book Antiqua" w:eastAsia="Times New Roman" w:hAnsi="Book Antiqua" w:cs="Times New Roman"/>
          <w:b/>
          <w:lang w:val="es-ES" w:eastAsia="es-ES"/>
        </w:rPr>
        <w:t xml:space="preserve"> III) </w:t>
      </w:r>
      <w:r w:rsidRPr="008D50B9">
        <w:rPr>
          <w:rFonts w:ascii="Book Antiqua" w:eastAsia="Times New Roman" w:hAnsi="Book Antiqua" w:cs="Times New Roman"/>
          <w:lang w:val="es-ES" w:eastAsia="es-ES"/>
        </w:rPr>
        <w:t>Que no obstante lo anterior,  una vez admitida la solicitud corresponde a la suscrita Oficial de Información analizar el contenido de la misma, con el objetivo de determinar si la solicitada información será entregada o fundamentar la negativa de la misma, Art. 55 del Reglamento de la LAIP, asimismo, es menester citar lo que el Art. 62 de la citada normativa establece: “Los entes obligados deberán entregar únicamente información que se encuentre en su poder (…)”,</w:t>
      </w:r>
      <w:r w:rsidRPr="008D50B9">
        <w:rPr>
          <w:rFonts w:ascii="Book Antiqua" w:eastAsia="Times New Roman" w:hAnsi="Book Antiqua" w:cs="Times New Roman"/>
          <w:b/>
          <w:lang w:eastAsia="es-ES"/>
        </w:rPr>
        <w:t xml:space="preserve"> IV)</w:t>
      </w:r>
      <w:r w:rsidRPr="008D50B9">
        <w:rPr>
          <w:rFonts w:ascii="Book Antiqua" w:eastAsia="Times New Roman" w:hAnsi="Book Antiqua" w:cs="Times New Roman"/>
          <w:lang w:eastAsia="es-ES"/>
        </w:rPr>
        <w:t xml:space="preserve"> Que para el presente caso la normativa en sus Arts. 50 letra c y 68 de la LAIP, así como,  el Art. 49 de su Reglamento, pre</w:t>
      </w:r>
      <w:r w:rsidR="008D50B9">
        <w:rPr>
          <w:rFonts w:ascii="Book Antiqua" w:eastAsia="Times New Roman" w:hAnsi="Book Antiqua" w:cs="Times New Roman"/>
          <w:lang w:eastAsia="es-ES"/>
        </w:rPr>
        <w:t xml:space="preserve">cisa que debe de expresársele al interesado </w:t>
      </w:r>
      <w:r w:rsidRPr="008D50B9">
        <w:rPr>
          <w:rFonts w:ascii="Book Antiqua" w:eastAsia="Times New Roman" w:hAnsi="Book Antiqua" w:cs="Times New Roman"/>
          <w:lang w:eastAsia="es-ES"/>
        </w:rPr>
        <w:t xml:space="preserve">la entidad a la que debe dirigir su petición. </w:t>
      </w:r>
      <w:r w:rsidRPr="00F05E77">
        <w:rPr>
          <w:rFonts w:ascii="Book Antiqua" w:eastAsia="Times New Roman" w:hAnsi="Book Antiqua" w:cs="Times New Roman"/>
          <w:b/>
          <w:lang w:eastAsia="es-ES"/>
        </w:rPr>
        <w:t>V)</w:t>
      </w:r>
      <w:r w:rsidRPr="008D50B9">
        <w:rPr>
          <w:rFonts w:ascii="Book Antiqua" w:eastAsia="Times New Roman" w:hAnsi="Book Antiqua" w:cs="Times New Roman"/>
          <w:lang w:eastAsia="es-ES"/>
        </w:rPr>
        <w:t xml:space="preserve"> </w:t>
      </w:r>
      <w:r w:rsidR="008A0F73" w:rsidRPr="008D50B9">
        <w:rPr>
          <w:rFonts w:ascii="Book Antiqua" w:eastAsia="Times New Roman" w:hAnsi="Book Antiqua" w:cs="Times New Roman"/>
          <w:lang w:eastAsia="es-ES"/>
        </w:rPr>
        <w:t xml:space="preserve">Habiéndose analizado la presente solicitud de información se concluye </w:t>
      </w:r>
      <w:r w:rsidR="0000542D" w:rsidRPr="008D50B9">
        <w:rPr>
          <w:rFonts w:ascii="Book Antiqua" w:eastAsia="Times New Roman" w:hAnsi="Book Antiqua" w:cs="Times New Roman"/>
          <w:lang w:eastAsia="es-ES"/>
        </w:rPr>
        <w:t>que no</w:t>
      </w:r>
      <w:r w:rsidR="008A0F73" w:rsidRPr="008D50B9">
        <w:rPr>
          <w:rFonts w:ascii="Book Antiqua" w:eastAsia="Times New Roman" w:hAnsi="Book Antiqua" w:cs="Times New Roman"/>
          <w:lang w:eastAsia="es-ES"/>
        </w:rPr>
        <w:t xml:space="preserve"> es competencia de este Ministerio</w:t>
      </w:r>
      <w:r w:rsidR="008D50B9">
        <w:rPr>
          <w:rFonts w:ascii="Book Antiqua" w:eastAsia="Times New Roman" w:hAnsi="Book Antiqua" w:cs="Times New Roman"/>
          <w:lang w:eastAsia="es-ES"/>
        </w:rPr>
        <w:t xml:space="preserve">, puesto que </w:t>
      </w:r>
      <w:r w:rsidR="00F05E77">
        <w:rPr>
          <w:rFonts w:ascii="Book Antiqua" w:eastAsia="Times New Roman" w:hAnsi="Book Antiqua" w:cs="Times New Roman"/>
          <w:lang w:eastAsia="es-ES"/>
        </w:rPr>
        <w:t xml:space="preserve">no tiene asignada tal función, por lo que al observar el Art. 4 del Código Municipal (numerales 1 y 27) puede colegirse que  podrían ser la entidad que haya generado la información solicitada. </w:t>
      </w:r>
      <w:r w:rsidRPr="008D50B9">
        <w:rPr>
          <w:rFonts w:ascii="Book Antiqua" w:eastAsia="Times New Roman" w:hAnsi="Book Antiqua" w:cs="Times New Roman"/>
          <w:b/>
          <w:lang w:val="es-ES" w:eastAsia="es-ES"/>
        </w:rPr>
        <w:t xml:space="preserve">POR TANTO, </w:t>
      </w:r>
      <w:r w:rsidRPr="008D50B9">
        <w:rPr>
          <w:rFonts w:ascii="Book Antiqua" w:eastAsia="Times New Roman" w:hAnsi="Book Antiqua" w:cs="Times New Roman"/>
          <w:lang w:val="es-ES" w:eastAsia="es-ES"/>
        </w:rPr>
        <w:t>conforme a los Arts. 1, 2, 6, 18 y 86 inc. 3°de la Constitución</w:t>
      </w:r>
      <w:r w:rsidR="008D50B9">
        <w:rPr>
          <w:rFonts w:ascii="Book Antiqua" w:eastAsia="Times New Roman" w:hAnsi="Book Antiqua" w:cs="Times New Roman"/>
          <w:lang w:val="es-ES" w:eastAsia="es-ES"/>
        </w:rPr>
        <w:t xml:space="preserve"> de la Republica</w:t>
      </w:r>
      <w:r w:rsidRPr="008D50B9">
        <w:rPr>
          <w:rFonts w:ascii="Book Antiqua" w:eastAsia="Times New Roman" w:hAnsi="Book Antiqua" w:cs="Times New Roman"/>
          <w:lang w:val="es-ES" w:eastAsia="es-ES"/>
        </w:rPr>
        <w:t>, y con base  los Arts. 2, 7, 9, 50, 62, 68 y 72 de la Ley de Acceso a la Información Pública, y Arts.49, 50, 52, 54, 55 y 56 de sus Reglamento, esta dependencia</w:t>
      </w:r>
      <w:r w:rsidRPr="008D50B9">
        <w:rPr>
          <w:rFonts w:ascii="Book Antiqua" w:eastAsia="Times New Roman" w:hAnsi="Book Antiqua" w:cs="Times New Roman"/>
          <w:b/>
          <w:lang w:val="es-ES" w:eastAsia="es-ES"/>
        </w:rPr>
        <w:t xml:space="preserve">, RESUELVE: 1° INSTRUIR </w:t>
      </w:r>
      <w:r w:rsidRPr="008D50B9">
        <w:rPr>
          <w:rFonts w:ascii="Book Antiqua" w:eastAsia="Times New Roman" w:hAnsi="Book Antiqua" w:cs="Times New Roman"/>
          <w:lang w:val="es-ES" w:eastAsia="es-ES"/>
        </w:rPr>
        <w:t>a la solicitante que debe dirigirse a la</w:t>
      </w:r>
      <w:r w:rsidR="008D50B9">
        <w:rPr>
          <w:rFonts w:ascii="Book Antiqua" w:eastAsia="Times New Roman" w:hAnsi="Book Antiqua" w:cs="Times New Roman"/>
          <w:lang w:val="es-ES" w:eastAsia="es-ES"/>
        </w:rPr>
        <w:t xml:space="preserve"> Unidad de Acceso a la Información de la </w:t>
      </w:r>
      <w:r w:rsidR="0000542D" w:rsidRPr="008D50B9">
        <w:rPr>
          <w:rFonts w:ascii="Book Antiqua" w:eastAsia="Times New Roman" w:hAnsi="Book Antiqua" w:cs="Times New Roman"/>
          <w:lang w:val="es-ES" w:eastAsia="es-ES"/>
        </w:rPr>
        <w:t xml:space="preserve"> Alcaldía Municipal de San Salvador</w:t>
      </w:r>
      <w:r w:rsidRPr="008D50B9">
        <w:rPr>
          <w:rFonts w:ascii="Book Antiqua" w:eastAsia="Times New Roman" w:hAnsi="Book Antiqua" w:cs="Times New Roman"/>
          <w:lang w:val="es-ES" w:eastAsia="es-ES"/>
        </w:rPr>
        <w:t xml:space="preserve">. </w:t>
      </w:r>
      <w:r w:rsidRPr="008D50B9">
        <w:rPr>
          <w:rFonts w:ascii="Book Antiqua" w:eastAsia="Times New Roman" w:hAnsi="Book Antiqua" w:cs="Times New Roman"/>
          <w:b/>
          <w:lang w:val="es-ES" w:eastAsia="es-ES"/>
        </w:rPr>
        <w:t xml:space="preserve">2° </w:t>
      </w:r>
      <w:r w:rsidRPr="008D50B9">
        <w:rPr>
          <w:rFonts w:ascii="Book Antiqua" w:eastAsia="Times New Roman" w:hAnsi="Book Antiqua" w:cs="Times New Roman"/>
          <w:lang w:val="es-ES" w:eastAsia="es-ES"/>
        </w:rPr>
        <w:t>Remítase la presente en el medio señalado para tal efecto.</w:t>
      </w:r>
      <w:r w:rsidRPr="008D50B9">
        <w:rPr>
          <w:rFonts w:ascii="Book Antiqua" w:eastAsia="Times New Roman" w:hAnsi="Book Antiqua" w:cs="Times New Roman"/>
          <w:b/>
          <w:lang w:val="es-ES" w:eastAsia="es-ES"/>
        </w:rPr>
        <w:t xml:space="preserve"> NOTIFÍQUESE</w:t>
      </w:r>
      <w:r w:rsidRPr="008D50B9">
        <w:rPr>
          <w:rFonts w:ascii="Book Antiqua" w:eastAsia="Times New Roman" w:hAnsi="Book Antiqua" w:cs="Times New Roman"/>
          <w:lang w:val="es-ES" w:eastAsia="es-ES"/>
        </w:rPr>
        <w:t>.</w:t>
      </w:r>
    </w:p>
    <w:p w:rsidR="00AD1B5B" w:rsidRPr="008D50B9" w:rsidRDefault="00AD1B5B" w:rsidP="008D50B9">
      <w:pPr>
        <w:spacing w:line="240" w:lineRule="auto"/>
        <w:rPr>
          <w:rFonts w:ascii="Book Antiqua" w:eastAsia="Times New Roman" w:hAnsi="Book Antiqua" w:cs="Times New Roman"/>
          <w:lang w:val="es-ES" w:eastAsia="es-ES"/>
        </w:rPr>
      </w:pPr>
    </w:p>
    <w:p w:rsidR="00AD1B5B" w:rsidRPr="008D50B9" w:rsidRDefault="00AD1B5B" w:rsidP="00F05E77">
      <w:pPr>
        <w:tabs>
          <w:tab w:val="left" w:pos="3418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lang w:val="es-ES_tradnl" w:eastAsia="es-ES_tradnl"/>
        </w:rPr>
      </w:pPr>
      <w:r w:rsidRPr="008D50B9">
        <w:rPr>
          <w:rFonts w:ascii="Book Antiqua" w:eastAsia="Times New Roman" w:hAnsi="Book Antiqua" w:cs="Times New Roman"/>
          <w:b/>
          <w:lang w:val="es-ES_tradnl" w:eastAsia="es-ES_tradnl"/>
        </w:rPr>
        <w:t>JENNI VANESSA QUINTANILLA GARCÍA</w:t>
      </w:r>
    </w:p>
    <w:p w:rsidR="00AD1B5B" w:rsidRPr="00F05E77" w:rsidRDefault="00AD1B5B" w:rsidP="00F05E77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val="es-ES_tradnl" w:eastAsia="es-ES_tradnl"/>
        </w:rPr>
      </w:pPr>
      <w:r w:rsidRPr="008D50B9">
        <w:rPr>
          <w:rFonts w:ascii="Book Antiqua" w:eastAsia="Times New Roman" w:hAnsi="Book Antiqua" w:cs="Times New Roman"/>
          <w:b/>
          <w:lang w:val="es-ES_tradnl" w:eastAsia="es-ES_tradnl"/>
        </w:rPr>
        <w:t>O</w:t>
      </w:r>
      <w:r w:rsidR="00F05E77">
        <w:rPr>
          <w:rFonts w:ascii="Book Antiqua" w:eastAsia="Times New Roman" w:hAnsi="Book Antiqua" w:cs="Times New Roman"/>
          <w:b/>
          <w:lang w:val="es-ES_tradnl" w:eastAsia="es-ES_tradnl"/>
        </w:rPr>
        <w:t>FICIAL DE INFORMACIÓN AD-HONOREM</w:t>
      </w:r>
    </w:p>
    <w:p w:rsidR="00AD1B5B" w:rsidRPr="008D50B9" w:rsidRDefault="00AD1B5B" w:rsidP="008D50B9">
      <w:pPr>
        <w:spacing w:line="240" w:lineRule="auto"/>
        <w:rPr>
          <w:rFonts w:ascii="Book Antiqua" w:hAnsi="Book Antiqua"/>
        </w:rPr>
      </w:pPr>
    </w:p>
    <w:p w:rsidR="00AD1B5B" w:rsidRPr="008D50B9" w:rsidRDefault="00AD1B5B" w:rsidP="008D50B9">
      <w:pPr>
        <w:spacing w:line="240" w:lineRule="auto"/>
        <w:rPr>
          <w:rFonts w:ascii="Book Antiqua" w:hAnsi="Book Antiqua"/>
        </w:rPr>
      </w:pPr>
    </w:p>
    <w:p w:rsidR="00E2270E" w:rsidRPr="008D50B9" w:rsidRDefault="00E2270E" w:rsidP="008D50B9">
      <w:pPr>
        <w:spacing w:line="240" w:lineRule="auto"/>
        <w:rPr>
          <w:rFonts w:ascii="Book Antiqua" w:hAnsi="Book Antiqua"/>
        </w:rPr>
      </w:pPr>
    </w:p>
    <w:sectPr w:rsidR="00E2270E" w:rsidRPr="008D50B9" w:rsidSect="00AD1B5B">
      <w:footerReference w:type="default" r:id="rId8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64C" w:rsidRDefault="00BB064C" w:rsidP="00AD1B5B">
      <w:pPr>
        <w:spacing w:after="0" w:line="240" w:lineRule="auto"/>
      </w:pPr>
      <w:r>
        <w:separator/>
      </w:r>
    </w:p>
  </w:endnote>
  <w:endnote w:type="continuationSeparator" w:id="0">
    <w:p w:rsidR="00BB064C" w:rsidRDefault="00BB064C" w:rsidP="00AD1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B5B" w:rsidRPr="001E74F9" w:rsidRDefault="00AD1B5B" w:rsidP="00AD1B5B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AD1B5B" w:rsidRPr="001E74F9" w:rsidRDefault="00AD1B5B" w:rsidP="00AD1B5B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AD1B5B" w:rsidRPr="001E74F9" w:rsidRDefault="00AD1B5B" w:rsidP="00AD1B5B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AD1B5B" w:rsidRDefault="00AD1B5B" w:rsidP="00AD1B5B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76833F84" wp14:editId="2428B50C">
          <wp:simplePos x="0" y="0"/>
          <wp:positionH relativeFrom="column">
            <wp:posOffset>-22860</wp:posOffset>
          </wp:positionH>
          <wp:positionV relativeFrom="paragraph">
            <wp:posOffset>22225</wp:posOffset>
          </wp:positionV>
          <wp:extent cx="2599690" cy="493395"/>
          <wp:effectExtent l="0" t="0" r="0" b="190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2599690" cy="4933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1B5B" w:rsidRDefault="00AD1B5B" w:rsidP="00AD1B5B">
    <w:pPr>
      <w:pStyle w:val="Piedepgina"/>
    </w:pPr>
  </w:p>
  <w:p w:rsidR="00AD1B5B" w:rsidRPr="00523838" w:rsidRDefault="00AD1B5B" w:rsidP="00AD1B5B">
    <w:pPr>
      <w:pStyle w:val="Piedepgina"/>
    </w:pPr>
  </w:p>
  <w:p w:rsidR="00AD1B5B" w:rsidRDefault="00AD1B5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64C" w:rsidRDefault="00BB064C" w:rsidP="00AD1B5B">
      <w:pPr>
        <w:spacing w:after="0" w:line="240" w:lineRule="auto"/>
      </w:pPr>
      <w:r>
        <w:separator/>
      </w:r>
    </w:p>
  </w:footnote>
  <w:footnote w:type="continuationSeparator" w:id="0">
    <w:p w:rsidR="00BB064C" w:rsidRDefault="00BB064C" w:rsidP="00AD1B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5B"/>
    <w:rsid w:val="0000542D"/>
    <w:rsid w:val="00324120"/>
    <w:rsid w:val="006B660C"/>
    <w:rsid w:val="008A0F73"/>
    <w:rsid w:val="008D50B9"/>
    <w:rsid w:val="008E077A"/>
    <w:rsid w:val="008F3791"/>
    <w:rsid w:val="00AD1B5B"/>
    <w:rsid w:val="00B1224D"/>
    <w:rsid w:val="00BB064C"/>
    <w:rsid w:val="00E2270E"/>
    <w:rsid w:val="00F0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B5B"/>
  </w:style>
  <w:style w:type="paragraph" w:styleId="Ttulo1">
    <w:name w:val="heading 1"/>
    <w:basedOn w:val="Normal"/>
    <w:next w:val="Normal"/>
    <w:link w:val="Ttulo1Car"/>
    <w:uiPriority w:val="9"/>
    <w:qFormat/>
    <w:rsid w:val="008D50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1B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1B5B"/>
  </w:style>
  <w:style w:type="paragraph" w:styleId="Piedepgina">
    <w:name w:val="footer"/>
    <w:basedOn w:val="Normal"/>
    <w:link w:val="PiedepginaCar"/>
    <w:uiPriority w:val="99"/>
    <w:unhideWhenUsed/>
    <w:rsid w:val="00AD1B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1B5B"/>
  </w:style>
  <w:style w:type="character" w:customStyle="1" w:styleId="Ttulo1Car">
    <w:name w:val="Título 1 Car"/>
    <w:basedOn w:val="Fuentedeprrafopredeter"/>
    <w:link w:val="Ttulo1"/>
    <w:uiPriority w:val="9"/>
    <w:rsid w:val="008D5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5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5E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B5B"/>
  </w:style>
  <w:style w:type="paragraph" w:styleId="Ttulo1">
    <w:name w:val="heading 1"/>
    <w:basedOn w:val="Normal"/>
    <w:next w:val="Normal"/>
    <w:link w:val="Ttulo1Car"/>
    <w:uiPriority w:val="9"/>
    <w:qFormat/>
    <w:rsid w:val="008D50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1B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1B5B"/>
  </w:style>
  <w:style w:type="paragraph" w:styleId="Piedepgina">
    <w:name w:val="footer"/>
    <w:basedOn w:val="Normal"/>
    <w:link w:val="PiedepginaCar"/>
    <w:uiPriority w:val="99"/>
    <w:unhideWhenUsed/>
    <w:rsid w:val="00AD1B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1B5B"/>
  </w:style>
  <w:style w:type="character" w:customStyle="1" w:styleId="Ttulo1Car">
    <w:name w:val="Título 1 Car"/>
    <w:basedOn w:val="Fuentedeprrafopredeter"/>
    <w:link w:val="Ttulo1"/>
    <w:uiPriority w:val="9"/>
    <w:rsid w:val="008D5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5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5E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Karen Yahamaleth Calderon Espinoza</cp:lastModifiedBy>
  <cp:revision>5</cp:revision>
  <cp:lastPrinted>2017-07-21T21:35:00Z</cp:lastPrinted>
  <dcterms:created xsi:type="dcterms:W3CDTF">2017-07-21T21:27:00Z</dcterms:created>
  <dcterms:modified xsi:type="dcterms:W3CDTF">2017-09-14T17:16:00Z</dcterms:modified>
</cp:coreProperties>
</file>