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3024F" w14:textId="77777777" w:rsidR="002177DC" w:rsidRPr="002177DC" w:rsidRDefault="002177DC" w:rsidP="002177DC">
      <w:pPr>
        <w:jc w:val="right"/>
        <w:rPr>
          <w:rFonts w:ascii="Museo 300" w:eastAsia="Times New Roman" w:hAnsi="Museo 300" w:cs="Calibri"/>
          <w:color w:val="000000" w:themeColor="text1"/>
          <w:sz w:val="24"/>
          <w:szCs w:val="24"/>
          <w:lang w:eastAsia="es-SV"/>
        </w:rPr>
      </w:pPr>
      <w:bookmarkStart w:id="0" w:name="_GoBack"/>
      <w:bookmarkEnd w:id="0"/>
    </w:p>
    <w:p w14:paraId="7141D41C" w14:textId="01E9A778" w:rsidR="002177DC" w:rsidRPr="002177DC" w:rsidRDefault="002177DC" w:rsidP="002177DC">
      <w:pPr>
        <w:rPr>
          <w:rFonts w:ascii="Museo 300" w:eastAsia="Times New Roman" w:hAnsi="Museo 300" w:cs="Calibri"/>
          <w:b/>
          <w:bCs/>
          <w:color w:val="000000" w:themeColor="text1"/>
          <w:sz w:val="24"/>
          <w:szCs w:val="24"/>
          <w:lang w:eastAsia="es-SV"/>
        </w:rPr>
      </w:pPr>
      <w:r w:rsidRPr="002177DC">
        <w:rPr>
          <w:rFonts w:ascii="Museo 300" w:eastAsia="Times New Roman" w:hAnsi="Museo 300" w:cs="Calibri"/>
          <w:b/>
          <w:bCs/>
          <w:color w:val="000000" w:themeColor="text1"/>
          <w:sz w:val="24"/>
          <w:szCs w:val="24"/>
          <w:lang w:eastAsia="es-SV"/>
        </w:rPr>
        <w:t>Solicitud OIR 2020-228</w:t>
      </w:r>
    </w:p>
    <w:p w14:paraId="59EEAD6F" w14:textId="15D04431" w:rsidR="000402CD" w:rsidRPr="002177DC" w:rsidRDefault="002177DC" w:rsidP="002177DC">
      <w:pPr>
        <w:jc w:val="both"/>
        <w:rPr>
          <w:rFonts w:ascii="Museo 300" w:hAnsi="Museo 300"/>
          <w:b/>
          <w:bCs/>
          <w:sz w:val="24"/>
          <w:szCs w:val="24"/>
        </w:rPr>
      </w:pPr>
      <w:r w:rsidRPr="002177DC">
        <w:rPr>
          <w:rFonts w:ascii="Museo 300" w:hAnsi="Museo 300"/>
          <w:b/>
          <w:bCs/>
          <w:sz w:val="24"/>
          <w:szCs w:val="24"/>
        </w:rPr>
        <w:t>Necesitaría me brindara información y estadísticas sobre manejo de residuos, emisiones de residuo per cápita, y total, consumo de agua total por año, cantidad de mantos acuíferos explotados, consumo medio de agua por día, emisiones de gases efecto invernadero, numero de fauna y flora en peligro de extinción, distribución de uso del suelo, de los municipios que componen la ruta de las flores (Ahuachapán, Juayúa, Apaneca, Ataco. Salcoatitán y Nahuizalco).</w:t>
      </w:r>
    </w:p>
    <w:p w14:paraId="71D4DAD9" w14:textId="7BCA5126" w:rsidR="002177DC" w:rsidRDefault="002177DC" w:rsidP="002177DC">
      <w:pPr>
        <w:jc w:val="both"/>
        <w:rPr>
          <w:rFonts w:ascii="Museo 300" w:hAnsi="Museo 300"/>
          <w:b/>
          <w:bCs/>
          <w:sz w:val="24"/>
          <w:szCs w:val="24"/>
        </w:rPr>
      </w:pPr>
    </w:p>
    <w:p w14:paraId="1B98259B" w14:textId="64E3B725" w:rsidR="002177DC" w:rsidRPr="002177DC" w:rsidRDefault="002177DC" w:rsidP="002177DC">
      <w:pPr>
        <w:jc w:val="both"/>
        <w:rPr>
          <w:rFonts w:ascii="Museo 300" w:hAnsi="Museo 300"/>
          <w:b/>
          <w:bCs/>
          <w:sz w:val="24"/>
          <w:szCs w:val="24"/>
        </w:rPr>
      </w:pPr>
      <w:r>
        <w:rPr>
          <w:rFonts w:ascii="Museo 300" w:hAnsi="Museo 300"/>
          <w:b/>
          <w:bCs/>
          <w:sz w:val="24"/>
          <w:szCs w:val="24"/>
        </w:rPr>
        <w:t>Respuesta:</w:t>
      </w:r>
    </w:p>
    <w:p w14:paraId="2EA57635" w14:textId="524CD584" w:rsidR="002177DC" w:rsidRPr="002177DC" w:rsidRDefault="002177DC" w:rsidP="002177DC">
      <w:pPr>
        <w:pStyle w:val="Prrafodelista"/>
        <w:numPr>
          <w:ilvl w:val="0"/>
          <w:numId w:val="1"/>
        </w:numPr>
        <w:jc w:val="both"/>
        <w:rPr>
          <w:rFonts w:ascii="Museo 300" w:hAnsi="Museo 300"/>
          <w:b/>
          <w:bCs/>
          <w:sz w:val="24"/>
          <w:szCs w:val="24"/>
        </w:rPr>
      </w:pPr>
      <w:r w:rsidRPr="002177DC">
        <w:rPr>
          <w:rFonts w:ascii="Museo 300" w:hAnsi="Museo 300"/>
          <w:b/>
          <w:bCs/>
          <w:sz w:val="24"/>
          <w:szCs w:val="24"/>
        </w:rPr>
        <w:t>Estadísticas sobre manejo de residuos</w:t>
      </w:r>
    </w:p>
    <w:tbl>
      <w:tblPr>
        <w:tblStyle w:val="Tablaconcuadrcula"/>
        <w:tblW w:w="5000" w:type="pct"/>
        <w:tblLook w:val="04A0" w:firstRow="1" w:lastRow="0" w:firstColumn="1" w:lastColumn="0" w:noHBand="0" w:noVBand="1"/>
      </w:tblPr>
      <w:tblGrid>
        <w:gridCol w:w="4628"/>
        <w:gridCol w:w="4768"/>
      </w:tblGrid>
      <w:tr w:rsidR="002177DC" w:rsidRPr="002177DC" w14:paraId="480CF758" w14:textId="77777777" w:rsidTr="002177DC">
        <w:trPr>
          <w:trHeight w:val="450"/>
        </w:trPr>
        <w:tc>
          <w:tcPr>
            <w:tcW w:w="5000" w:type="pct"/>
            <w:gridSpan w:val="2"/>
          </w:tcPr>
          <w:p w14:paraId="774C79F5" w14:textId="77777777"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Ministerio de Medio Ambiente y Recursos Naturales</w:t>
            </w:r>
          </w:p>
          <w:p w14:paraId="693F9A3D" w14:textId="63F7EB8E"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Gerencia de Residuos Sólidos y Peligrosos</w:t>
            </w:r>
          </w:p>
        </w:tc>
      </w:tr>
      <w:tr w:rsidR="002177DC" w:rsidRPr="002177DC" w14:paraId="35929F8E" w14:textId="77777777" w:rsidTr="002177DC">
        <w:trPr>
          <w:trHeight w:val="450"/>
        </w:trPr>
        <w:tc>
          <w:tcPr>
            <w:tcW w:w="5000" w:type="pct"/>
            <w:gridSpan w:val="2"/>
            <w:hideMark/>
          </w:tcPr>
          <w:p w14:paraId="07E9F618" w14:textId="77777777"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Municipios ruta de las Flores</w:t>
            </w:r>
          </w:p>
        </w:tc>
      </w:tr>
      <w:tr w:rsidR="002177DC" w:rsidRPr="002177DC" w14:paraId="77E25BA8" w14:textId="77777777" w:rsidTr="002177DC">
        <w:trPr>
          <w:trHeight w:val="510"/>
        </w:trPr>
        <w:tc>
          <w:tcPr>
            <w:tcW w:w="5000" w:type="pct"/>
            <w:gridSpan w:val="2"/>
            <w:hideMark/>
          </w:tcPr>
          <w:p w14:paraId="54FFE433" w14:textId="67138084"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Disposición final en relleno sanitario 2019</w:t>
            </w:r>
          </w:p>
        </w:tc>
      </w:tr>
      <w:tr w:rsidR="002177DC" w:rsidRPr="002177DC" w14:paraId="6268E052" w14:textId="77777777" w:rsidTr="002177DC">
        <w:trPr>
          <w:trHeight w:val="300"/>
        </w:trPr>
        <w:tc>
          <w:tcPr>
            <w:tcW w:w="2463" w:type="pct"/>
            <w:hideMark/>
          </w:tcPr>
          <w:p w14:paraId="41E321C9" w14:textId="77777777"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Municipio</w:t>
            </w:r>
          </w:p>
        </w:tc>
        <w:tc>
          <w:tcPr>
            <w:tcW w:w="2537" w:type="pct"/>
            <w:hideMark/>
          </w:tcPr>
          <w:p w14:paraId="4193E945" w14:textId="1EBFDACF"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Toneladas de desechos</w:t>
            </w:r>
          </w:p>
        </w:tc>
      </w:tr>
      <w:tr w:rsidR="002177DC" w:rsidRPr="002177DC" w14:paraId="21FE3551" w14:textId="77777777" w:rsidTr="002177DC">
        <w:trPr>
          <w:trHeight w:val="300"/>
        </w:trPr>
        <w:tc>
          <w:tcPr>
            <w:tcW w:w="2463" w:type="pct"/>
            <w:hideMark/>
          </w:tcPr>
          <w:p w14:paraId="6C7284F9" w14:textId="77777777" w:rsidR="002177DC" w:rsidRPr="002177DC" w:rsidRDefault="002177DC">
            <w:pPr>
              <w:rPr>
                <w:rFonts w:ascii="Museo 300" w:eastAsia="Times New Roman" w:hAnsi="Museo 300"/>
                <w:color w:val="000000"/>
                <w:sz w:val="24"/>
                <w:szCs w:val="24"/>
              </w:rPr>
            </w:pPr>
            <w:r w:rsidRPr="002177DC">
              <w:rPr>
                <w:rFonts w:ascii="Museo 300" w:eastAsia="Times New Roman" w:hAnsi="Museo 300"/>
                <w:color w:val="000000"/>
                <w:sz w:val="24"/>
                <w:szCs w:val="24"/>
              </w:rPr>
              <w:t>Ahuachapán</w:t>
            </w:r>
          </w:p>
        </w:tc>
        <w:tc>
          <w:tcPr>
            <w:tcW w:w="2537" w:type="pct"/>
            <w:hideMark/>
          </w:tcPr>
          <w:p w14:paraId="006446D6" w14:textId="77777777"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16,714.39</w:t>
            </w:r>
          </w:p>
        </w:tc>
      </w:tr>
      <w:tr w:rsidR="002177DC" w:rsidRPr="002177DC" w14:paraId="4DD0A88A" w14:textId="77777777" w:rsidTr="002177DC">
        <w:trPr>
          <w:trHeight w:val="300"/>
        </w:trPr>
        <w:tc>
          <w:tcPr>
            <w:tcW w:w="2463" w:type="pct"/>
            <w:hideMark/>
          </w:tcPr>
          <w:p w14:paraId="30503966" w14:textId="77777777" w:rsidR="002177DC" w:rsidRPr="002177DC" w:rsidRDefault="002177DC">
            <w:pPr>
              <w:rPr>
                <w:rFonts w:ascii="Museo 300" w:eastAsia="Times New Roman" w:hAnsi="Museo 300"/>
                <w:color w:val="000000"/>
                <w:sz w:val="24"/>
                <w:szCs w:val="24"/>
              </w:rPr>
            </w:pPr>
            <w:r w:rsidRPr="002177DC">
              <w:rPr>
                <w:rFonts w:ascii="Museo 300" w:eastAsia="Times New Roman" w:hAnsi="Museo 300"/>
                <w:color w:val="000000"/>
                <w:sz w:val="24"/>
                <w:szCs w:val="24"/>
              </w:rPr>
              <w:t>Juayua</w:t>
            </w:r>
          </w:p>
        </w:tc>
        <w:tc>
          <w:tcPr>
            <w:tcW w:w="2537" w:type="pct"/>
            <w:hideMark/>
          </w:tcPr>
          <w:p w14:paraId="10B6BF2C" w14:textId="77777777"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3,882.19</w:t>
            </w:r>
          </w:p>
        </w:tc>
      </w:tr>
      <w:tr w:rsidR="002177DC" w:rsidRPr="002177DC" w14:paraId="324213E3" w14:textId="77777777" w:rsidTr="002177DC">
        <w:trPr>
          <w:trHeight w:val="300"/>
        </w:trPr>
        <w:tc>
          <w:tcPr>
            <w:tcW w:w="2463" w:type="pct"/>
            <w:hideMark/>
          </w:tcPr>
          <w:p w14:paraId="58DEA0C1" w14:textId="77777777" w:rsidR="002177DC" w:rsidRPr="002177DC" w:rsidRDefault="002177DC">
            <w:pPr>
              <w:rPr>
                <w:rFonts w:ascii="Museo 300" w:eastAsia="Times New Roman" w:hAnsi="Museo 300"/>
                <w:color w:val="000000"/>
                <w:sz w:val="24"/>
                <w:szCs w:val="24"/>
              </w:rPr>
            </w:pPr>
            <w:r w:rsidRPr="002177DC">
              <w:rPr>
                <w:rFonts w:ascii="Museo 300" w:eastAsia="Times New Roman" w:hAnsi="Museo 300"/>
                <w:color w:val="000000"/>
                <w:sz w:val="24"/>
                <w:szCs w:val="24"/>
              </w:rPr>
              <w:t>Apaneca</w:t>
            </w:r>
          </w:p>
        </w:tc>
        <w:tc>
          <w:tcPr>
            <w:tcW w:w="2537" w:type="pct"/>
            <w:hideMark/>
          </w:tcPr>
          <w:p w14:paraId="6FC9F828" w14:textId="77777777"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1,496.02</w:t>
            </w:r>
          </w:p>
        </w:tc>
      </w:tr>
      <w:tr w:rsidR="002177DC" w:rsidRPr="002177DC" w14:paraId="71210F74" w14:textId="77777777" w:rsidTr="002177DC">
        <w:trPr>
          <w:trHeight w:val="300"/>
        </w:trPr>
        <w:tc>
          <w:tcPr>
            <w:tcW w:w="2463" w:type="pct"/>
            <w:hideMark/>
          </w:tcPr>
          <w:p w14:paraId="2C01C0F6" w14:textId="77777777" w:rsidR="002177DC" w:rsidRPr="002177DC" w:rsidRDefault="002177DC">
            <w:pPr>
              <w:rPr>
                <w:rFonts w:ascii="Museo 300" w:eastAsia="Times New Roman" w:hAnsi="Museo 300"/>
                <w:color w:val="000000"/>
                <w:sz w:val="24"/>
                <w:szCs w:val="24"/>
              </w:rPr>
            </w:pPr>
            <w:r w:rsidRPr="002177DC">
              <w:rPr>
                <w:rFonts w:ascii="Museo 300" w:eastAsia="Times New Roman" w:hAnsi="Museo 300"/>
                <w:color w:val="000000"/>
                <w:sz w:val="24"/>
                <w:szCs w:val="24"/>
              </w:rPr>
              <w:t>Concepción de Ataco</w:t>
            </w:r>
          </w:p>
        </w:tc>
        <w:tc>
          <w:tcPr>
            <w:tcW w:w="2537" w:type="pct"/>
            <w:hideMark/>
          </w:tcPr>
          <w:p w14:paraId="5A545A82" w14:textId="77777777"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2,044.04</w:t>
            </w:r>
          </w:p>
        </w:tc>
      </w:tr>
      <w:tr w:rsidR="002177DC" w:rsidRPr="002177DC" w14:paraId="69C37D62" w14:textId="77777777" w:rsidTr="002177DC">
        <w:trPr>
          <w:trHeight w:val="300"/>
        </w:trPr>
        <w:tc>
          <w:tcPr>
            <w:tcW w:w="2463" w:type="pct"/>
            <w:hideMark/>
          </w:tcPr>
          <w:p w14:paraId="1C5ADA5E" w14:textId="77777777" w:rsidR="002177DC" w:rsidRPr="002177DC" w:rsidRDefault="002177DC">
            <w:pPr>
              <w:rPr>
                <w:rFonts w:ascii="Museo 300" w:eastAsia="Times New Roman" w:hAnsi="Museo 300"/>
                <w:color w:val="000000"/>
                <w:sz w:val="24"/>
                <w:szCs w:val="24"/>
              </w:rPr>
            </w:pPr>
            <w:r w:rsidRPr="002177DC">
              <w:rPr>
                <w:rFonts w:ascii="Museo 300" w:eastAsia="Times New Roman" w:hAnsi="Museo 300"/>
                <w:color w:val="000000"/>
                <w:sz w:val="24"/>
                <w:szCs w:val="24"/>
              </w:rPr>
              <w:t>Salcoatitán</w:t>
            </w:r>
          </w:p>
        </w:tc>
        <w:tc>
          <w:tcPr>
            <w:tcW w:w="2537" w:type="pct"/>
            <w:hideMark/>
          </w:tcPr>
          <w:p w14:paraId="6477FA20" w14:textId="77777777"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1,066.47</w:t>
            </w:r>
          </w:p>
        </w:tc>
      </w:tr>
      <w:tr w:rsidR="002177DC" w:rsidRPr="002177DC" w14:paraId="2BF548F2" w14:textId="77777777" w:rsidTr="002177DC">
        <w:trPr>
          <w:trHeight w:val="300"/>
        </w:trPr>
        <w:tc>
          <w:tcPr>
            <w:tcW w:w="2463" w:type="pct"/>
            <w:hideMark/>
          </w:tcPr>
          <w:p w14:paraId="0BADF7B0" w14:textId="77777777" w:rsidR="002177DC" w:rsidRPr="002177DC" w:rsidRDefault="002177DC">
            <w:pPr>
              <w:rPr>
                <w:rFonts w:ascii="Museo 300" w:eastAsia="Times New Roman" w:hAnsi="Museo 300"/>
                <w:color w:val="000000"/>
                <w:sz w:val="24"/>
                <w:szCs w:val="24"/>
              </w:rPr>
            </w:pPr>
            <w:r w:rsidRPr="002177DC">
              <w:rPr>
                <w:rFonts w:ascii="Museo 300" w:eastAsia="Times New Roman" w:hAnsi="Museo 300"/>
                <w:color w:val="000000"/>
                <w:sz w:val="24"/>
                <w:szCs w:val="24"/>
              </w:rPr>
              <w:t>Nahuizalco</w:t>
            </w:r>
          </w:p>
        </w:tc>
        <w:tc>
          <w:tcPr>
            <w:tcW w:w="2537" w:type="pct"/>
            <w:hideMark/>
          </w:tcPr>
          <w:p w14:paraId="2C03E1AC" w14:textId="77777777" w:rsidR="002177DC" w:rsidRPr="002177DC" w:rsidRDefault="002177DC">
            <w:pPr>
              <w:jc w:val="center"/>
              <w:rPr>
                <w:rFonts w:ascii="Museo 300" w:eastAsia="Times New Roman" w:hAnsi="Museo 300"/>
                <w:color w:val="000000"/>
                <w:sz w:val="24"/>
                <w:szCs w:val="24"/>
              </w:rPr>
            </w:pPr>
            <w:r w:rsidRPr="002177DC">
              <w:rPr>
                <w:rFonts w:ascii="Museo 300" w:eastAsia="Times New Roman" w:hAnsi="Museo 300"/>
                <w:color w:val="000000"/>
                <w:sz w:val="24"/>
                <w:szCs w:val="24"/>
              </w:rPr>
              <w:t>4,053.64</w:t>
            </w:r>
          </w:p>
        </w:tc>
      </w:tr>
    </w:tbl>
    <w:p w14:paraId="64A6A4E7" w14:textId="3BCA49CA" w:rsidR="002177DC" w:rsidRPr="002177DC" w:rsidRDefault="002177DC" w:rsidP="002177DC">
      <w:pPr>
        <w:pStyle w:val="Prrafodelista"/>
        <w:jc w:val="both"/>
        <w:rPr>
          <w:rFonts w:ascii="Museo 300" w:hAnsi="Museo 300"/>
          <w:b/>
          <w:bCs/>
          <w:sz w:val="24"/>
          <w:szCs w:val="24"/>
        </w:rPr>
      </w:pPr>
      <w:r w:rsidRPr="002177DC">
        <w:rPr>
          <w:rFonts w:ascii="Museo 300" w:hAnsi="Museo 300"/>
          <w:b/>
          <w:bCs/>
          <w:sz w:val="24"/>
          <w:szCs w:val="24"/>
        </w:rPr>
        <w:t>*No se cuenta con datos actualizados de generación per cápita.</w:t>
      </w:r>
    </w:p>
    <w:p w14:paraId="137C9505" w14:textId="2D6DA42E" w:rsidR="002177DC" w:rsidRPr="002177DC" w:rsidRDefault="002177DC" w:rsidP="002177DC">
      <w:pPr>
        <w:pStyle w:val="Prrafodelista"/>
        <w:jc w:val="both"/>
        <w:rPr>
          <w:rFonts w:ascii="Museo 300" w:hAnsi="Museo 300"/>
          <w:b/>
          <w:bCs/>
          <w:sz w:val="24"/>
          <w:szCs w:val="24"/>
        </w:rPr>
      </w:pPr>
    </w:p>
    <w:p w14:paraId="558C74BA" w14:textId="33A62F88" w:rsidR="002177DC" w:rsidRPr="002177DC" w:rsidRDefault="002177DC" w:rsidP="002177DC">
      <w:pPr>
        <w:pStyle w:val="xmsonormal"/>
        <w:numPr>
          <w:ilvl w:val="0"/>
          <w:numId w:val="1"/>
        </w:numPr>
        <w:spacing w:before="0" w:beforeAutospacing="0" w:after="0" w:afterAutospacing="0"/>
        <w:rPr>
          <w:rFonts w:ascii="Museo 300" w:eastAsiaTheme="minorHAnsi" w:hAnsi="Museo 300" w:cstheme="minorBidi"/>
          <w:b/>
          <w:bCs/>
          <w:lang w:eastAsia="en-US"/>
        </w:rPr>
      </w:pPr>
      <w:r w:rsidRPr="002177DC">
        <w:rPr>
          <w:rFonts w:ascii="Museo 300" w:eastAsiaTheme="minorHAnsi" w:hAnsi="Museo 300" w:cstheme="minorBidi"/>
          <w:b/>
          <w:bCs/>
          <w:lang w:eastAsia="en-US"/>
        </w:rPr>
        <w:t>Consumo de agua total por año.</w:t>
      </w:r>
    </w:p>
    <w:p w14:paraId="097A50F2" w14:textId="77777777" w:rsidR="002177DC" w:rsidRPr="002177DC" w:rsidRDefault="002177DC" w:rsidP="002177DC">
      <w:pPr>
        <w:pStyle w:val="xmsonormal"/>
        <w:spacing w:before="0" w:beforeAutospacing="0" w:after="0" w:afterAutospacing="0"/>
        <w:ind w:left="720"/>
        <w:rPr>
          <w:rFonts w:ascii="Museo 300" w:eastAsiaTheme="minorHAnsi" w:hAnsi="Museo 300" w:cstheme="minorBidi"/>
          <w:b/>
          <w:bCs/>
          <w:lang w:eastAsia="en-US"/>
        </w:rPr>
      </w:pPr>
    </w:p>
    <w:p w14:paraId="0866F6BD" w14:textId="77777777" w:rsidR="002177DC" w:rsidRPr="002177DC" w:rsidRDefault="002177DC" w:rsidP="002177DC">
      <w:pPr>
        <w:pStyle w:val="xmsonormal"/>
        <w:spacing w:before="0" w:beforeAutospacing="0" w:after="0" w:afterAutospacing="0"/>
        <w:rPr>
          <w:rFonts w:ascii="Museo 300" w:eastAsiaTheme="minorHAnsi" w:hAnsi="Museo 300" w:cstheme="minorBidi"/>
          <w:lang w:eastAsia="en-US"/>
        </w:rPr>
      </w:pPr>
      <w:r w:rsidRPr="002177DC">
        <w:rPr>
          <w:rFonts w:ascii="Museo 300" w:eastAsiaTheme="minorHAnsi" w:hAnsi="Museo 300" w:cstheme="minorBidi"/>
          <w:lang w:eastAsia="en-US"/>
        </w:rPr>
        <w:t xml:space="preserve">El Plan Nacional de Gestión Integrada de Recursos Hídricos (PNGIRH) en su anexo 02. “Usos y demandas de agua actuales y futuras”. Detalla todas las demandas de agua a nivel nacional, se anexa el informe mencionado: </w:t>
      </w:r>
      <w:hyperlink r:id="rId7" w:history="1">
        <w:r w:rsidRPr="002177DC">
          <w:rPr>
            <w:rFonts w:ascii="Museo 300" w:eastAsiaTheme="minorHAnsi" w:hAnsi="Museo 300" w:cstheme="minorBidi"/>
          </w:rPr>
          <w:t>Usos y demandas de agua actuales y futuras.</w:t>
        </w:r>
      </w:hyperlink>
    </w:p>
    <w:p w14:paraId="71146B1A" w14:textId="643C0C0B" w:rsidR="002177DC" w:rsidRDefault="002177DC" w:rsidP="002177DC">
      <w:pPr>
        <w:pStyle w:val="xmsonormal"/>
        <w:spacing w:before="0" w:beforeAutospacing="0" w:after="0" w:afterAutospacing="0"/>
        <w:rPr>
          <w:rFonts w:ascii="Museo 300" w:eastAsiaTheme="minorHAnsi" w:hAnsi="Museo 300" w:cstheme="minorBidi"/>
          <w:lang w:eastAsia="en-US"/>
        </w:rPr>
      </w:pPr>
    </w:p>
    <w:p w14:paraId="6EA6F29C" w14:textId="77777777" w:rsidR="004E6450" w:rsidRPr="002177DC" w:rsidRDefault="004E6450" w:rsidP="002177DC">
      <w:pPr>
        <w:pStyle w:val="xmsonormal"/>
        <w:spacing w:before="0" w:beforeAutospacing="0" w:after="0" w:afterAutospacing="0"/>
        <w:rPr>
          <w:rFonts w:ascii="Museo 300" w:eastAsiaTheme="minorHAnsi" w:hAnsi="Museo 300" w:cstheme="minorBidi"/>
          <w:lang w:eastAsia="en-US"/>
        </w:rPr>
      </w:pPr>
    </w:p>
    <w:p w14:paraId="375DB85C" w14:textId="77777777" w:rsidR="002177DC" w:rsidRPr="002177DC" w:rsidRDefault="002177DC" w:rsidP="002177DC">
      <w:pPr>
        <w:pStyle w:val="xmsonormal"/>
        <w:spacing w:before="0" w:beforeAutospacing="0" w:after="0" w:afterAutospacing="0"/>
        <w:rPr>
          <w:rFonts w:ascii="Museo 300" w:eastAsiaTheme="minorHAnsi" w:hAnsi="Museo 300" w:cstheme="minorBidi"/>
          <w:b/>
          <w:bCs/>
          <w:lang w:eastAsia="en-US"/>
        </w:rPr>
      </w:pPr>
    </w:p>
    <w:p w14:paraId="21767B43" w14:textId="3C2C9080" w:rsidR="002177DC" w:rsidRDefault="002177DC" w:rsidP="002177DC">
      <w:pPr>
        <w:pStyle w:val="xmsonormal"/>
        <w:numPr>
          <w:ilvl w:val="0"/>
          <w:numId w:val="1"/>
        </w:numPr>
        <w:spacing w:before="0" w:beforeAutospacing="0" w:after="0" w:afterAutospacing="0"/>
        <w:rPr>
          <w:rFonts w:ascii="Museo 300" w:eastAsiaTheme="minorHAnsi" w:hAnsi="Museo 300" w:cstheme="minorBidi"/>
          <w:b/>
          <w:bCs/>
          <w:lang w:eastAsia="en-US"/>
        </w:rPr>
      </w:pPr>
      <w:r w:rsidRPr="002177DC">
        <w:rPr>
          <w:rFonts w:ascii="Museo 300" w:eastAsiaTheme="minorHAnsi" w:hAnsi="Museo 300" w:cstheme="minorBidi"/>
          <w:b/>
          <w:bCs/>
          <w:lang w:eastAsia="en-US"/>
        </w:rPr>
        <w:t>Cantidad de mantos acuíferos explotados.</w:t>
      </w:r>
    </w:p>
    <w:p w14:paraId="14B057E4" w14:textId="77777777" w:rsidR="002177DC" w:rsidRPr="002177DC" w:rsidRDefault="002177DC" w:rsidP="002177DC">
      <w:pPr>
        <w:pStyle w:val="xmsonormal"/>
        <w:spacing w:before="0" w:beforeAutospacing="0" w:after="0" w:afterAutospacing="0"/>
        <w:ind w:left="720"/>
        <w:rPr>
          <w:rFonts w:ascii="Museo 300" w:eastAsiaTheme="minorHAnsi" w:hAnsi="Museo 300" w:cstheme="minorBidi"/>
          <w:b/>
          <w:bCs/>
          <w:lang w:eastAsia="en-US"/>
        </w:rPr>
      </w:pPr>
    </w:p>
    <w:p w14:paraId="29C86AAD" w14:textId="77777777" w:rsidR="004E6450" w:rsidRDefault="002177DC" w:rsidP="004E6450">
      <w:pPr>
        <w:pStyle w:val="xmsonormal"/>
        <w:spacing w:before="0" w:beforeAutospacing="0" w:after="0" w:afterAutospacing="0"/>
        <w:jc w:val="both"/>
        <w:rPr>
          <w:rFonts w:ascii="Museo 300" w:eastAsiaTheme="minorHAnsi" w:hAnsi="Museo 300" w:cstheme="minorBidi"/>
          <w:lang w:eastAsia="en-US"/>
        </w:rPr>
      </w:pPr>
      <w:r w:rsidRPr="002177DC">
        <w:rPr>
          <w:rFonts w:ascii="Museo 300" w:eastAsiaTheme="minorHAnsi" w:hAnsi="Museo 300" w:cstheme="minorBidi"/>
          <w:lang w:eastAsia="en-US"/>
        </w:rPr>
        <w:t xml:space="preserve">En el Visualizador de Información Geográfico de Evaluación Ambiental VIGEA, se muestra el mapa denominado Índice de explotación masa agua subterránea, considerando que, desde el PNGIRH, los análisis se hicieron agrupando los acuíferos en masas de aguas subterráneas. La información se puede consultar en el enlace </w:t>
      </w:r>
    </w:p>
    <w:p w14:paraId="59638B03" w14:textId="770407E6" w:rsidR="002177DC" w:rsidRPr="004E6450" w:rsidRDefault="003D202A" w:rsidP="004E6450">
      <w:pPr>
        <w:jc w:val="both"/>
        <w:rPr>
          <w:rFonts w:ascii="Museo 300" w:hAnsi="Museo 300"/>
          <w:sz w:val="24"/>
          <w:szCs w:val="24"/>
        </w:rPr>
      </w:pPr>
      <w:hyperlink r:id="rId8" w:history="1">
        <w:r w:rsidR="004E6450" w:rsidRPr="00F737AB">
          <w:rPr>
            <w:rStyle w:val="Hipervnculo"/>
            <w:rFonts w:ascii="Museo 300" w:hAnsi="Museo 300"/>
          </w:rPr>
          <w:t>http://mapas.marn.gob.sv/VIGEA/nepamap.aspx?wherestr=AHUACHAP%C1N&amp;searchtype=departamentos</w:t>
        </w:r>
      </w:hyperlink>
    </w:p>
    <w:p w14:paraId="07A69253" w14:textId="1C482B4F" w:rsidR="004E6450" w:rsidRPr="002177DC" w:rsidRDefault="004E6450" w:rsidP="004E6450">
      <w:pPr>
        <w:pStyle w:val="xmsonormal"/>
        <w:spacing w:before="0" w:beforeAutospacing="0" w:after="0" w:afterAutospacing="0"/>
        <w:jc w:val="both"/>
        <w:rPr>
          <w:rFonts w:ascii="Museo 300" w:eastAsiaTheme="minorHAnsi" w:hAnsi="Museo 300" w:cstheme="minorBidi"/>
          <w:lang w:eastAsia="en-US"/>
        </w:rPr>
      </w:pPr>
      <w:r>
        <w:rPr>
          <w:rFonts w:ascii="Museo 300" w:eastAsiaTheme="minorHAnsi" w:hAnsi="Museo 300" w:cstheme="minorBidi"/>
          <w:lang w:eastAsia="en-US"/>
        </w:rPr>
        <w:t xml:space="preserve"> </w:t>
      </w:r>
    </w:p>
    <w:p w14:paraId="5AD8CB7A" w14:textId="77777777" w:rsidR="002177DC" w:rsidRPr="002177DC" w:rsidRDefault="002177DC" w:rsidP="004E6450">
      <w:pPr>
        <w:pStyle w:val="xmsonormal"/>
        <w:spacing w:before="0" w:beforeAutospacing="0" w:after="0" w:afterAutospacing="0"/>
        <w:jc w:val="both"/>
        <w:rPr>
          <w:rFonts w:ascii="Museo 300" w:eastAsiaTheme="minorHAnsi" w:hAnsi="Museo 300" w:cstheme="minorBidi"/>
          <w:lang w:eastAsia="en-US"/>
        </w:rPr>
      </w:pPr>
      <w:r w:rsidRPr="002177DC">
        <w:rPr>
          <w:rFonts w:ascii="Museo 300" w:eastAsiaTheme="minorHAnsi" w:hAnsi="Museo 300" w:cstheme="minorBidi"/>
          <w:lang w:eastAsia="en-US"/>
        </w:rPr>
        <w:t xml:space="preserve">Los análisis se encuentran disponibles en el documento: </w:t>
      </w:r>
      <w:hyperlink r:id="rId9" w:history="1">
        <w:r w:rsidRPr="002177DC">
          <w:rPr>
            <w:rFonts w:ascii="Museo 300" w:eastAsiaTheme="minorHAnsi" w:hAnsi="Museo 300" w:cstheme="minorBidi"/>
            <w:lang w:eastAsia="en-US"/>
          </w:rPr>
          <w:t>Modelos conceptuales de funcionamiento hidrogeológico</w:t>
        </w:r>
      </w:hyperlink>
      <w:r w:rsidRPr="002177DC">
        <w:rPr>
          <w:rFonts w:ascii="Museo 300" w:eastAsiaTheme="minorHAnsi" w:hAnsi="Museo 300" w:cstheme="minorBidi"/>
          <w:lang w:eastAsia="en-US"/>
        </w:rPr>
        <w:t>.</w:t>
      </w:r>
    </w:p>
    <w:p w14:paraId="4A02FBE9" w14:textId="77777777" w:rsidR="002177DC" w:rsidRPr="002177DC" w:rsidRDefault="002177DC" w:rsidP="004E6450">
      <w:pPr>
        <w:pStyle w:val="xmsonormal"/>
        <w:spacing w:before="0" w:beforeAutospacing="0" w:after="0" w:afterAutospacing="0"/>
        <w:jc w:val="both"/>
        <w:rPr>
          <w:rFonts w:ascii="Museo 300" w:eastAsiaTheme="minorHAnsi" w:hAnsi="Museo 300" w:cstheme="minorBidi"/>
          <w:lang w:eastAsia="en-US"/>
        </w:rPr>
      </w:pPr>
    </w:p>
    <w:p w14:paraId="6F86E565" w14:textId="76C2F9FD" w:rsidR="002177DC" w:rsidRPr="002177DC" w:rsidRDefault="002177DC" w:rsidP="004E6450">
      <w:pPr>
        <w:pStyle w:val="xmsonormal"/>
        <w:spacing w:before="0" w:beforeAutospacing="0" w:after="0" w:afterAutospacing="0"/>
        <w:jc w:val="both"/>
        <w:rPr>
          <w:rFonts w:ascii="Museo 300" w:eastAsiaTheme="minorHAnsi" w:hAnsi="Museo 300" w:cstheme="minorBidi"/>
          <w:lang w:eastAsia="en-US"/>
        </w:rPr>
      </w:pPr>
      <w:r w:rsidRPr="002177DC">
        <w:rPr>
          <w:rFonts w:ascii="Museo 300" w:eastAsiaTheme="minorHAnsi" w:hAnsi="Museo 300" w:cstheme="minorBidi"/>
          <w:lang w:eastAsia="en-US"/>
        </w:rPr>
        <w:t xml:space="preserve">El Sistema de Información Hídrica (SIHI), presenta un mapa de estrés hídrico por región hidrográfica, este se puede consultar en: </w:t>
      </w:r>
      <w:r w:rsidR="004E6450">
        <w:rPr>
          <w:rFonts w:ascii="Museo 300" w:eastAsiaTheme="minorHAnsi" w:hAnsi="Museo 300" w:cstheme="minorBidi"/>
          <w:lang w:eastAsia="en-US"/>
        </w:rPr>
        <w:t xml:space="preserve">  </w:t>
      </w:r>
      <w:hyperlink r:id="rId10" w:history="1">
        <w:r w:rsidR="004E6450" w:rsidRPr="00F737AB">
          <w:rPr>
            <w:rStyle w:val="Hipervnculo"/>
            <w:rFonts w:ascii="Museo 300" w:eastAsiaTheme="minorHAnsi" w:hAnsi="Museo 300" w:cstheme="minorBidi"/>
            <w:lang w:eastAsia="en-US"/>
          </w:rPr>
          <w:t>http://srt.snet.gob.sv/sihi/public/asig_reser</w:t>
        </w:r>
      </w:hyperlink>
    </w:p>
    <w:p w14:paraId="251B4609" w14:textId="77777777" w:rsidR="002177DC" w:rsidRPr="002177DC" w:rsidRDefault="002177DC" w:rsidP="002177DC">
      <w:pPr>
        <w:pStyle w:val="xmsonormal"/>
        <w:spacing w:before="0" w:beforeAutospacing="0" w:after="0" w:afterAutospacing="0"/>
        <w:jc w:val="both"/>
        <w:rPr>
          <w:rFonts w:ascii="Museo 300" w:eastAsiaTheme="minorHAnsi" w:hAnsi="Museo 300" w:cstheme="minorBidi"/>
          <w:lang w:eastAsia="en-US"/>
        </w:rPr>
      </w:pPr>
    </w:p>
    <w:p w14:paraId="225A81F1" w14:textId="77777777" w:rsidR="002177DC" w:rsidRPr="002177DC" w:rsidRDefault="002177DC" w:rsidP="002177DC">
      <w:pPr>
        <w:pStyle w:val="xmsonormal"/>
        <w:spacing w:before="0" w:beforeAutospacing="0" w:after="0" w:afterAutospacing="0"/>
        <w:rPr>
          <w:rFonts w:ascii="Museo 300" w:eastAsiaTheme="minorHAnsi" w:hAnsi="Museo 300" w:cstheme="minorBidi"/>
          <w:b/>
          <w:bCs/>
          <w:lang w:eastAsia="en-US"/>
        </w:rPr>
      </w:pPr>
    </w:p>
    <w:p w14:paraId="0537B6A6" w14:textId="77777777" w:rsidR="002177DC" w:rsidRPr="004E6450" w:rsidRDefault="002177DC" w:rsidP="004E6450">
      <w:pPr>
        <w:pStyle w:val="xmsonormal"/>
        <w:numPr>
          <w:ilvl w:val="0"/>
          <w:numId w:val="1"/>
        </w:numPr>
        <w:spacing w:before="0" w:beforeAutospacing="0" w:after="0" w:afterAutospacing="0"/>
        <w:rPr>
          <w:rFonts w:ascii="Museo 300" w:eastAsiaTheme="minorHAnsi" w:hAnsi="Museo 300" w:cstheme="minorBidi"/>
          <w:b/>
          <w:bCs/>
          <w:lang w:eastAsia="en-US"/>
        </w:rPr>
      </w:pPr>
      <w:r w:rsidRPr="004E6450">
        <w:rPr>
          <w:rFonts w:ascii="Museo 300" w:eastAsiaTheme="minorHAnsi" w:hAnsi="Museo 300" w:cstheme="minorBidi"/>
          <w:b/>
          <w:bCs/>
          <w:lang w:eastAsia="en-US"/>
        </w:rPr>
        <w:t>Consumo medio de agua por día.</w:t>
      </w:r>
    </w:p>
    <w:p w14:paraId="4566A558" w14:textId="170F2ADE" w:rsidR="002177DC" w:rsidRDefault="002177DC" w:rsidP="004E6450">
      <w:pPr>
        <w:pStyle w:val="xmsonormal"/>
        <w:spacing w:before="0" w:beforeAutospacing="0" w:after="0" w:afterAutospacing="0"/>
        <w:jc w:val="both"/>
        <w:rPr>
          <w:rFonts w:ascii="Museo 300" w:hAnsi="Museo 300" w:cstheme="minorBidi"/>
          <w:lang w:eastAsia="en-US"/>
        </w:rPr>
      </w:pPr>
      <w:r w:rsidRPr="004E6450">
        <w:rPr>
          <w:rFonts w:ascii="Museo 300" w:eastAsiaTheme="minorHAnsi" w:hAnsi="Museo 300" w:cstheme="minorBidi"/>
          <w:lang w:eastAsia="en-US"/>
        </w:rPr>
        <w:t xml:space="preserve">Los datos de consumo diario de agua se encuentra en la respuesta del literal </w:t>
      </w:r>
      <w:r w:rsidR="004E6450">
        <w:rPr>
          <w:rFonts w:ascii="Museo 300" w:eastAsiaTheme="minorHAnsi" w:hAnsi="Museo 300" w:cstheme="minorBidi"/>
          <w:lang w:eastAsia="en-US"/>
        </w:rPr>
        <w:t xml:space="preserve">: </w:t>
      </w:r>
      <w:hyperlink r:id="rId11" w:history="1">
        <w:r w:rsidRPr="004E6450">
          <w:rPr>
            <w:rFonts w:ascii="Museo 300" w:eastAsiaTheme="minorHAnsi" w:hAnsi="Museo 300" w:cstheme="minorBidi"/>
          </w:rPr>
          <w:t>Usos y demandas de agua actuales y futuras.</w:t>
        </w:r>
      </w:hyperlink>
    </w:p>
    <w:p w14:paraId="50D99C3E" w14:textId="77777777" w:rsidR="004E6450" w:rsidRPr="004E6450" w:rsidRDefault="004E6450" w:rsidP="004E6450">
      <w:pPr>
        <w:pStyle w:val="xmsonormal"/>
        <w:spacing w:before="0" w:beforeAutospacing="0" w:after="0" w:afterAutospacing="0"/>
        <w:jc w:val="both"/>
        <w:rPr>
          <w:rFonts w:ascii="Museo 300" w:eastAsiaTheme="minorHAnsi" w:hAnsi="Museo 300" w:cstheme="minorBidi"/>
          <w:lang w:eastAsia="en-US"/>
        </w:rPr>
      </w:pPr>
    </w:p>
    <w:p w14:paraId="0DE1ECCD" w14:textId="77777777" w:rsidR="002177DC" w:rsidRPr="002177DC" w:rsidRDefault="002177DC" w:rsidP="002177DC">
      <w:pPr>
        <w:pStyle w:val="xmsonormal"/>
        <w:spacing w:before="0" w:beforeAutospacing="0" w:after="0" w:afterAutospacing="0"/>
        <w:rPr>
          <w:rFonts w:ascii="Museo 300" w:eastAsiaTheme="minorHAnsi" w:hAnsi="Museo 300" w:cstheme="minorBidi"/>
          <w:b/>
          <w:bCs/>
          <w:lang w:eastAsia="en-US"/>
        </w:rPr>
      </w:pPr>
    </w:p>
    <w:p w14:paraId="2F46210E" w14:textId="414E8472" w:rsidR="002177DC" w:rsidRDefault="002177DC" w:rsidP="004E6450">
      <w:pPr>
        <w:pStyle w:val="xmsonormal"/>
        <w:numPr>
          <w:ilvl w:val="0"/>
          <w:numId w:val="1"/>
        </w:numPr>
        <w:spacing w:before="0" w:beforeAutospacing="0" w:after="0" w:afterAutospacing="0"/>
        <w:jc w:val="both"/>
        <w:rPr>
          <w:rFonts w:ascii="Museo 300" w:eastAsiaTheme="minorHAnsi" w:hAnsi="Museo 300" w:cstheme="minorBidi"/>
          <w:b/>
          <w:bCs/>
          <w:lang w:eastAsia="en-US"/>
        </w:rPr>
      </w:pPr>
      <w:r w:rsidRPr="002177DC">
        <w:rPr>
          <w:rFonts w:ascii="Museo 300" w:eastAsiaTheme="minorHAnsi" w:hAnsi="Museo 300" w:cstheme="minorBidi"/>
          <w:b/>
          <w:bCs/>
          <w:lang w:eastAsia="en-US"/>
        </w:rPr>
        <w:t>Distribución de uso del suelo, de los municipios que componen la ruta de las flores (Ahuachapán, Juayúa, Apaneca, Ataco. Salcoatitán y Nahuizalco).</w:t>
      </w:r>
    </w:p>
    <w:p w14:paraId="7C3BD277" w14:textId="77777777" w:rsidR="004E6450" w:rsidRPr="002177DC" w:rsidRDefault="004E6450" w:rsidP="004E6450">
      <w:pPr>
        <w:pStyle w:val="xmsonormal"/>
        <w:spacing w:before="0" w:beforeAutospacing="0" w:after="0" w:afterAutospacing="0"/>
        <w:ind w:left="720"/>
        <w:jc w:val="both"/>
        <w:rPr>
          <w:rFonts w:ascii="Museo 300" w:eastAsiaTheme="minorHAnsi" w:hAnsi="Museo 300" w:cstheme="minorBidi"/>
          <w:b/>
          <w:bCs/>
          <w:lang w:eastAsia="en-US"/>
        </w:rPr>
      </w:pPr>
    </w:p>
    <w:p w14:paraId="306EF2D9" w14:textId="77777777" w:rsidR="002177DC" w:rsidRPr="004E6450" w:rsidRDefault="002177DC" w:rsidP="002177DC">
      <w:pPr>
        <w:jc w:val="both"/>
        <w:rPr>
          <w:rFonts w:ascii="Museo 300" w:hAnsi="Museo 300"/>
          <w:sz w:val="24"/>
          <w:szCs w:val="24"/>
        </w:rPr>
      </w:pPr>
      <w:r w:rsidRPr="004E6450">
        <w:rPr>
          <w:rFonts w:ascii="Museo 300" w:hAnsi="Museo 300"/>
          <w:sz w:val="24"/>
          <w:szCs w:val="24"/>
        </w:rPr>
        <w:t>En el Visualizador de Información Geográfico de Evaluación Ambiental (VIGEA), puede consultarse el uso de suelo, por departamento, municipio, cantón, adjunto enlace con dos ejemplos: a) uso de suelos del departamento de Ahuachapán; y b) uso de suelos del municipio de Apaneca.</w:t>
      </w:r>
    </w:p>
    <w:p w14:paraId="2B6743BA" w14:textId="4121CFF6" w:rsidR="002177DC" w:rsidRPr="004E6450" w:rsidRDefault="003D202A" w:rsidP="004E6450">
      <w:pPr>
        <w:spacing w:after="200" w:line="276" w:lineRule="auto"/>
        <w:jc w:val="both"/>
        <w:rPr>
          <w:rFonts w:ascii="Museo 300" w:hAnsi="Museo 300"/>
          <w:b/>
          <w:bCs/>
          <w:sz w:val="24"/>
          <w:szCs w:val="24"/>
        </w:rPr>
      </w:pPr>
      <w:hyperlink r:id="rId12" w:history="1">
        <w:r w:rsidR="004E6450" w:rsidRPr="00F737AB">
          <w:rPr>
            <w:rStyle w:val="Hipervnculo"/>
            <w:rFonts w:ascii="Museo 300" w:hAnsi="Museo 300"/>
            <w:b/>
            <w:bCs/>
            <w:sz w:val="24"/>
            <w:szCs w:val="24"/>
          </w:rPr>
          <w:t>http://mapas.marn.gob.sv/VIGEA/nepamap.aspx?wherestr=AHUACHAP%C1N&amp;searchtype=departamentos</w:t>
        </w:r>
      </w:hyperlink>
    </w:p>
    <w:p w14:paraId="62403780" w14:textId="25E13919" w:rsidR="002177DC" w:rsidRPr="004E6450" w:rsidRDefault="003D202A" w:rsidP="004E6450">
      <w:pPr>
        <w:jc w:val="both"/>
        <w:rPr>
          <w:rFonts w:ascii="Museo 300" w:hAnsi="Museo 300"/>
          <w:b/>
          <w:bCs/>
          <w:sz w:val="24"/>
          <w:szCs w:val="24"/>
        </w:rPr>
      </w:pPr>
      <w:hyperlink r:id="rId13" w:history="1">
        <w:r w:rsidR="004E6450" w:rsidRPr="00F737AB">
          <w:rPr>
            <w:rStyle w:val="Hipervnculo"/>
            <w:rFonts w:ascii="Museo 300" w:hAnsi="Museo 300"/>
            <w:b/>
            <w:bCs/>
            <w:sz w:val="24"/>
            <w:szCs w:val="24"/>
          </w:rPr>
          <w:t>http://mapas.marn.gob.sv/VIGEA/nepamap.aspx?wherestr=APANECA&amp;searchtype=municipios</w:t>
        </w:r>
      </w:hyperlink>
    </w:p>
    <w:p w14:paraId="49EE7263" w14:textId="77777777" w:rsidR="002177DC" w:rsidRPr="002177DC" w:rsidRDefault="002177DC" w:rsidP="002177DC">
      <w:pPr>
        <w:jc w:val="both"/>
        <w:rPr>
          <w:rFonts w:ascii="Museo 300" w:hAnsi="Museo 300"/>
          <w:b/>
          <w:bCs/>
          <w:sz w:val="24"/>
          <w:szCs w:val="24"/>
        </w:rPr>
      </w:pPr>
    </w:p>
    <w:sectPr w:rsidR="002177DC" w:rsidRPr="002177DC" w:rsidSect="004E6450">
      <w:headerReference w:type="default" r:id="rId14"/>
      <w:footerReference w:type="default" r:id="rId15"/>
      <w:pgSz w:w="12240" w:h="15840"/>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549EF" w14:textId="77777777" w:rsidR="003D202A" w:rsidRDefault="003D202A" w:rsidP="002177DC">
      <w:pPr>
        <w:spacing w:after="0" w:line="240" w:lineRule="auto"/>
      </w:pPr>
      <w:r>
        <w:separator/>
      </w:r>
    </w:p>
  </w:endnote>
  <w:endnote w:type="continuationSeparator" w:id="0">
    <w:p w14:paraId="4343A2C5" w14:textId="77777777" w:rsidR="003D202A" w:rsidRDefault="003D202A" w:rsidP="0021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41323"/>
      <w:docPartObj>
        <w:docPartGallery w:val="Page Numbers (Bottom of Page)"/>
        <w:docPartUnique/>
      </w:docPartObj>
    </w:sdtPr>
    <w:sdtEndPr/>
    <w:sdtContent>
      <w:sdt>
        <w:sdtPr>
          <w:id w:val="-1769616900"/>
          <w:docPartObj>
            <w:docPartGallery w:val="Page Numbers (Top of Page)"/>
            <w:docPartUnique/>
          </w:docPartObj>
        </w:sdtPr>
        <w:sdtEndPr/>
        <w:sdtContent>
          <w:p w14:paraId="12961DEC" w14:textId="77777777" w:rsidR="00994EB7" w:rsidRDefault="00B85634">
            <w:pPr>
              <w:pStyle w:val="Piedepgina"/>
              <w:jc w:val="right"/>
            </w:pPr>
            <w:r w:rsidRPr="00202276">
              <w:rPr>
                <w:rFonts w:ascii="Museo 300" w:hAnsi="Museo 300"/>
                <w:sz w:val="16"/>
                <w:szCs w:val="16"/>
                <w:lang w:val="es-ES"/>
              </w:rPr>
              <w:t xml:space="preserve">Página </w:t>
            </w:r>
            <w:r w:rsidRPr="00202276">
              <w:rPr>
                <w:rFonts w:ascii="Museo 300" w:hAnsi="Museo 300"/>
                <w:b/>
                <w:bCs/>
                <w:sz w:val="16"/>
                <w:szCs w:val="16"/>
              </w:rPr>
              <w:fldChar w:fldCharType="begin"/>
            </w:r>
            <w:r w:rsidRPr="00202276">
              <w:rPr>
                <w:rFonts w:ascii="Museo 300" w:hAnsi="Museo 300"/>
                <w:b/>
                <w:bCs/>
                <w:sz w:val="16"/>
                <w:szCs w:val="16"/>
              </w:rPr>
              <w:instrText>PAGE</w:instrText>
            </w:r>
            <w:r w:rsidRPr="00202276">
              <w:rPr>
                <w:rFonts w:ascii="Museo 300" w:hAnsi="Museo 300"/>
                <w:b/>
                <w:bCs/>
                <w:sz w:val="16"/>
                <w:szCs w:val="16"/>
              </w:rPr>
              <w:fldChar w:fldCharType="separate"/>
            </w:r>
            <w:r w:rsidR="003D202A">
              <w:rPr>
                <w:rFonts w:ascii="Museo 300" w:hAnsi="Museo 300"/>
                <w:b/>
                <w:bCs/>
                <w:noProof/>
                <w:sz w:val="16"/>
                <w:szCs w:val="16"/>
              </w:rPr>
              <w:t>1</w:t>
            </w:r>
            <w:r w:rsidRPr="00202276">
              <w:rPr>
                <w:rFonts w:ascii="Museo 300" w:hAnsi="Museo 300"/>
                <w:b/>
                <w:bCs/>
                <w:sz w:val="16"/>
                <w:szCs w:val="16"/>
              </w:rPr>
              <w:fldChar w:fldCharType="end"/>
            </w:r>
            <w:r w:rsidRPr="00202276">
              <w:rPr>
                <w:rFonts w:ascii="Museo 300" w:hAnsi="Museo 300"/>
                <w:sz w:val="16"/>
                <w:szCs w:val="16"/>
                <w:lang w:val="es-ES"/>
              </w:rPr>
              <w:t xml:space="preserve"> de </w:t>
            </w:r>
            <w:r w:rsidRPr="00202276">
              <w:rPr>
                <w:rFonts w:ascii="Museo 300" w:hAnsi="Museo 300"/>
                <w:b/>
                <w:bCs/>
                <w:sz w:val="16"/>
                <w:szCs w:val="16"/>
              </w:rPr>
              <w:fldChar w:fldCharType="begin"/>
            </w:r>
            <w:r w:rsidRPr="00202276">
              <w:rPr>
                <w:rFonts w:ascii="Museo 300" w:hAnsi="Museo 300"/>
                <w:b/>
                <w:bCs/>
                <w:sz w:val="16"/>
                <w:szCs w:val="16"/>
              </w:rPr>
              <w:instrText>NUMPAGES</w:instrText>
            </w:r>
            <w:r w:rsidRPr="00202276">
              <w:rPr>
                <w:rFonts w:ascii="Museo 300" w:hAnsi="Museo 300"/>
                <w:b/>
                <w:bCs/>
                <w:sz w:val="16"/>
                <w:szCs w:val="16"/>
              </w:rPr>
              <w:fldChar w:fldCharType="separate"/>
            </w:r>
            <w:r w:rsidR="003D202A">
              <w:rPr>
                <w:rFonts w:ascii="Museo 300" w:hAnsi="Museo 300"/>
                <w:b/>
                <w:bCs/>
                <w:noProof/>
                <w:sz w:val="16"/>
                <w:szCs w:val="16"/>
              </w:rPr>
              <w:t>1</w:t>
            </w:r>
            <w:r w:rsidRPr="00202276">
              <w:rPr>
                <w:rFonts w:ascii="Museo 300" w:hAnsi="Museo 300"/>
                <w:b/>
                <w:bCs/>
                <w:sz w:val="16"/>
                <w:szCs w:val="16"/>
              </w:rPr>
              <w:fldChar w:fldCharType="end"/>
            </w:r>
          </w:p>
        </w:sdtContent>
      </w:sdt>
    </w:sdtContent>
  </w:sdt>
  <w:p w14:paraId="240696EA" w14:textId="77777777" w:rsidR="00994EB7" w:rsidRDefault="003D20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17343" w14:textId="77777777" w:rsidR="003D202A" w:rsidRDefault="003D202A" w:rsidP="002177DC">
      <w:pPr>
        <w:spacing w:after="0" w:line="240" w:lineRule="auto"/>
      </w:pPr>
      <w:r>
        <w:separator/>
      </w:r>
    </w:p>
  </w:footnote>
  <w:footnote w:type="continuationSeparator" w:id="0">
    <w:p w14:paraId="19298FE6" w14:textId="77777777" w:rsidR="003D202A" w:rsidRDefault="003D202A" w:rsidP="00217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A8D01" w14:textId="77777777" w:rsidR="00994EB7" w:rsidRDefault="00B85634" w:rsidP="00D21135">
    <w:pPr>
      <w:spacing w:after="0"/>
      <w:jc w:val="right"/>
      <w:rPr>
        <w:rFonts w:ascii="Museo 300" w:hAnsi="Museo 300"/>
      </w:rPr>
    </w:pPr>
    <w:r>
      <w:rPr>
        <w:noProof/>
        <w:lang w:eastAsia="es-SV"/>
      </w:rPr>
      <w:drawing>
        <wp:anchor distT="0" distB="0" distL="114300" distR="114300" simplePos="0" relativeHeight="251659264" behindDoc="0" locked="0" layoutInCell="1" allowOverlap="1" wp14:anchorId="0C40F0E0" wp14:editId="326584F6">
          <wp:simplePos x="0" y="0"/>
          <wp:positionH relativeFrom="margin">
            <wp:align>left</wp:align>
          </wp:positionH>
          <wp:positionV relativeFrom="paragraph">
            <wp:posOffset>7620</wp:posOffset>
          </wp:positionV>
          <wp:extent cx="1664335" cy="84137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41375"/>
                  </a:xfrm>
                  <a:prstGeom prst="rect">
                    <a:avLst/>
                  </a:prstGeom>
                  <a:noFill/>
                </pic:spPr>
              </pic:pic>
            </a:graphicData>
          </a:graphic>
        </wp:anchor>
      </w:drawing>
    </w:r>
  </w:p>
  <w:p w14:paraId="549055F0" w14:textId="77777777" w:rsidR="00994EB7" w:rsidRPr="00D21135" w:rsidRDefault="00B85634" w:rsidP="00D21135">
    <w:pPr>
      <w:spacing w:after="0"/>
      <w:jc w:val="right"/>
      <w:rPr>
        <w:rFonts w:ascii="Museo 300" w:hAnsi="Museo 300"/>
      </w:rPr>
    </w:pPr>
    <w:r w:rsidRPr="00D21135">
      <w:rPr>
        <w:rFonts w:ascii="Museo 300" w:hAnsi="Museo 300"/>
      </w:rPr>
      <w:t xml:space="preserve"> DIRECCION GENERAL DE SEGURIDAD HIDRICA</w:t>
    </w:r>
  </w:p>
  <w:p w14:paraId="403DB014" w14:textId="3BD2C410" w:rsidR="00994EB7" w:rsidRDefault="00B85634" w:rsidP="00D21135">
    <w:pPr>
      <w:spacing w:after="0"/>
      <w:jc w:val="right"/>
      <w:rPr>
        <w:rFonts w:ascii="Museo 300" w:hAnsi="Museo 300"/>
      </w:rPr>
    </w:pPr>
    <w:r w:rsidRPr="00D21135">
      <w:rPr>
        <w:rFonts w:ascii="Museo 300" w:hAnsi="Museo 300"/>
      </w:rPr>
      <w:t>GERENCIA DE RESIDUOS SOLIDOS Y PELIGROSOS</w:t>
    </w:r>
  </w:p>
  <w:p w14:paraId="1FB86185" w14:textId="0FFAC3E7" w:rsidR="002177DC" w:rsidRPr="00D21135" w:rsidRDefault="002177DC" w:rsidP="00D21135">
    <w:pPr>
      <w:spacing w:after="0"/>
      <w:jc w:val="right"/>
      <w:rPr>
        <w:rFonts w:ascii="Museo 300" w:hAnsi="Museo 300"/>
      </w:rPr>
    </w:pPr>
    <w:r>
      <w:rPr>
        <w:rFonts w:ascii="Museo 300" w:hAnsi="Museo 300"/>
      </w:rPr>
      <w:t>GERENCIA DE GESTION INTEGRADA DEL RECURSO HIDRICO</w:t>
    </w:r>
  </w:p>
  <w:p w14:paraId="1998CB94" w14:textId="4AEB3165" w:rsidR="00994EB7" w:rsidRDefault="002177DC" w:rsidP="002177DC">
    <w:pPr>
      <w:pStyle w:val="Encabezado"/>
      <w:tabs>
        <w:tab w:val="clear" w:pos="4419"/>
        <w:tab w:val="clear" w:pos="8838"/>
        <w:tab w:val="left" w:pos="72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2A7E"/>
    <w:multiLevelType w:val="hybridMultilevel"/>
    <w:tmpl w:val="752A568E"/>
    <w:lvl w:ilvl="0" w:tplc="440A0017">
      <w:start w:val="1"/>
      <w:numFmt w:val="lowerLetter"/>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 w15:restartNumberingAfterBreak="0">
    <w:nsid w:val="0B9F1493"/>
    <w:multiLevelType w:val="hybridMultilevel"/>
    <w:tmpl w:val="D3F29C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CB459B8"/>
    <w:multiLevelType w:val="hybridMultilevel"/>
    <w:tmpl w:val="2B6C1A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DC"/>
    <w:rsid w:val="000402CD"/>
    <w:rsid w:val="002177DC"/>
    <w:rsid w:val="003D202A"/>
    <w:rsid w:val="004E6450"/>
    <w:rsid w:val="009213EA"/>
    <w:rsid w:val="00AE62F4"/>
    <w:rsid w:val="00B17442"/>
    <w:rsid w:val="00B85634"/>
    <w:rsid w:val="00DF53B9"/>
    <w:rsid w:val="00F5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B66E"/>
  <w15:chartTrackingRefBased/>
  <w15:docId w15:val="{D42A4F77-14D3-49E9-BB57-CDEACE55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7DC"/>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7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7DC"/>
    <w:rPr>
      <w:lang w:val="es-SV"/>
    </w:rPr>
  </w:style>
  <w:style w:type="paragraph" w:styleId="Piedepgina">
    <w:name w:val="footer"/>
    <w:basedOn w:val="Normal"/>
    <w:link w:val="PiedepginaCar"/>
    <w:uiPriority w:val="99"/>
    <w:unhideWhenUsed/>
    <w:rsid w:val="00217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7DC"/>
    <w:rPr>
      <w:lang w:val="es-SV"/>
    </w:rPr>
  </w:style>
  <w:style w:type="paragraph" w:styleId="Prrafodelista">
    <w:name w:val="List Paragraph"/>
    <w:basedOn w:val="Normal"/>
    <w:uiPriority w:val="34"/>
    <w:qFormat/>
    <w:rsid w:val="002177DC"/>
    <w:pPr>
      <w:ind w:left="720"/>
      <w:contextualSpacing/>
    </w:pPr>
  </w:style>
  <w:style w:type="table" w:styleId="Tablaconcuadrcula">
    <w:name w:val="Table Grid"/>
    <w:basedOn w:val="Tablanormal"/>
    <w:uiPriority w:val="39"/>
    <w:rsid w:val="0021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177D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2177DC"/>
    <w:rPr>
      <w:color w:val="0563C1" w:themeColor="hyperlink"/>
      <w:u w:val="single"/>
    </w:rPr>
  </w:style>
  <w:style w:type="character" w:customStyle="1" w:styleId="agstoclayerlabel">
    <w:name w:val="agstoclayerlabel"/>
    <w:basedOn w:val="Fuentedeprrafopredeter"/>
    <w:rsid w:val="002177DC"/>
  </w:style>
  <w:style w:type="character" w:customStyle="1" w:styleId="UnresolvedMention">
    <w:name w:val="Unresolved Mention"/>
    <w:basedOn w:val="Fuentedeprrafopredeter"/>
    <w:uiPriority w:val="99"/>
    <w:semiHidden/>
    <w:unhideWhenUsed/>
    <w:rsid w:val="004E6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579603">
      <w:bodyDiv w:val="1"/>
      <w:marLeft w:val="0"/>
      <w:marRight w:val="0"/>
      <w:marTop w:val="0"/>
      <w:marBottom w:val="0"/>
      <w:divBdr>
        <w:top w:val="none" w:sz="0" w:space="0" w:color="auto"/>
        <w:left w:val="none" w:sz="0" w:space="0" w:color="auto"/>
        <w:bottom w:val="none" w:sz="0" w:space="0" w:color="auto"/>
        <w:right w:val="none" w:sz="0" w:space="0" w:color="auto"/>
      </w:divBdr>
    </w:div>
    <w:div w:id="18970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as.marn.gob.sv/VIGEA/nepamap.aspx?wherestr=AHUACHAP%C1N&amp;searchtype=departamentos" TargetMode="External"/><Relationship Id="rId13" Type="http://schemas.openxmlformats.org/officeDocument/2006/relationships/hyperlink" Target="http://mapas.marn.gob.sv/VIGEA/nepamap.aspx?wherestr=APANECA&amp;searchtype=municipios" TargetMode="External"/><Relationship Id="rId3" Type="http://schemas.openxmlformats.org/officeDocument/2006/relationships/settings" Target="settings.xml"/><Relationship Id="rId7" Type="http://schemas.openxmlformats.org/officeDocument/2006/relationships/hyperlink" Target="file:///C:\Users\smunoz\Desktop\Nueva%20carpeta\PNGIRH-PRO-TTE-013-AX02-UsosDemandas-E02.pdf" TargetMode="External"/><Relationship Id="rId12" Type="http://schemas.openxmlformats.org/officeDocument/2006/relationships/hyperlink" Target="http://mapas.marn.gob.sv/VIGEA/nepamap.aspx?wherestr=AHUACHAP%C1N&amp;searchtype=departamento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munoz\Desktop\Nueva%20carpeta\PNGIRH-PRO-TTE-013-AX02-UsosDemandas-E0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t.snet.gob.sv/sihi/public/asig_reser" TargetMode="External"/><Relationship Id="rId4" Type="http://schemas.openxmlformats.org/officeDocument/2006/relationships/webSettings" Target="webSettings.xml"/><Relationship Id="rId9" Type="http://schemas.openxmlformats.org/officeDocument/2006/relationships/hyperlink" Target="file:///C:\Users\blopez\Downloads\PNGIRH-PRO-TTE-013-AX01-AP05-Hidrogeologico.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Beatriz Vidal Lopez de Huezo</dc:creator>
  <cp:keywords/>
  <dc:description/>
  <cp:lastModifiedBy>Sonia del Carmen Miranda de Aguilar</cp:lastModifiedBy>
  <cp:revision>2</cp:revision>
  <cp:lastPrinted>2021-01-06T21:19:00Z</cp:lastPrinted>
  <dcterms:created xsi:type="dcterms:W3CDTF">2021-01-06T21:20:00Z</dcterms:created>
  <dcterms:modified xsi:type="dcterms:W3CDTF">2021-01-06T21:20:00Z</dcterms:modified>
</cp:coreProperties>
</file>