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1A9" w:rsidRDefault="00F401A9">
      <w:r>
        <w:rPr>
          <w:noProof/>
          <w:lang w:eastAsia="es-SV"/>
        </w:rPr>
        <w:drawing>
          <wp:anchor distT="0" distB="0" distL="114300" distR="120650" simplePos="0" relativeHeight="251661312" behindDoc="1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-452120</wp:posOffset>
            </wp:positionV>
            <wp:extent cx="1885203" cy="981075"/>
            <wp:effectExtent l="19050" t="0" r="747" b="0"/>
            <wp:wrapNone/>
            <wp:docPr id="3" name="Imagen 3" descr="Macintosh HD:Users:usuario:Desktop:2019:Actualización de Documentos:Paquete grafico MARN-2019:Logo:Logo-MARN-2019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" descr="Macintosh HD:Users:usuario:Desktop:2019:Actualización de Documentos:Paquete grafico MARN-2019:Logo:Logo-MARN-2019-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203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· </w:t>
      </w:r>
    </w:p>
    <w:p w:rsidR="00F401A9" w:rsidRDefault="00F401A9"/>
    <w:p w:rsidR="00F401A9" w:rsidRDefault="00F401A9" w:rsidP="00F401A9">
      <w:pPr>
        <w:jc w:val="center"/>
        <w:rPr>
          <w:b/>
          <w:sz w:val="32"/>
          <w:szCs w:val="32"/>
        </w:rPr>
      </w:pPr>
      <w:r w:rsidRPr="00F401A9">
        <w:rPr>
          <w:b/>
          <w:sz w:val="32"/>
          <w:szCs w:val="32"/>
        </w:rPr>
        <w:t>DIRECCION GENERAL DE AGUA Y SANEAMIENTO AMBIENTAL</w:t>
      </w:r>
    </w:p>
    <w:p w:rsidR="00F401A9" w:rsidRPr="00F61656" w:rsidRDefault="00F401A9" w:rsidP="00F61656">
      <w:pPr>
        <w:pStyle w:val="Ttulo1"/>
        <w:jc w:val="center"/>
        <w:rPr>
          <w:rFonts w:asciiTheme="minorHAnsi" w:hAnsiTheme="minorHAnsi"/>
          <w:sz w:val="32"/>
          <w:szCs w:val="32"/>
        </w:rPr>
      </w:pPr>
      <w:r w:rsidRPr="00F61656">
        <w:rPr>
          <w:rFonts w:asciiTheme="minorHAnsi" w:hAnsiTheme="minorHAnsi"/>
          <w:sz w:val="32"/>
          <w:szCs w:val="32"/>
        </w:rPr>
        <w:t>RESPUESTA A SOLICITUD N°</w:t>
      </w:r>
      <w:r w:rsidR="00F61656" w:rsidRPr="00F61656">
        <w:rPr>
          <w:rFonts w:asciiTheme="minorHAnsi" w:hAnsiTheme="minorHAnsi"/>
          <w:sz w:val="32"/>
          <w:szCs w:val="32"/>
        </w:rPr>
        <w:t>MARN-2019-0347</w:t>
      </w:r>
    </w:p>
    <w:p w:rsidR="00F401A9" w:rsidRPr="00921F4B" w:rsidRDefault="00F401A9" w:rsidP="00D14E71">
      <w:pPr>
        <w:pStyle w:val="Prrafodelista"/>
        <w:numPr>
          <w:ilvl w:val="0"/>
          <w:numId w:val="1"/>
        </w:numPr>
        <w:jc w:val="both"/>
        <w:rPr>
          <w:b/>
        </w:rPr>
      </w:pPr>
      <w:r w:rsidRPr="00921F4B">
        <w:rPr>
          <w:b/>
        </w:rPr>
        <w:t>Cuáles son las plantas o estaciones de transferencia para Antiguo Cuscatlán y Mejicanos (si existen):</w:t>
      </w:r>
    </w:p>
    <w:p w:rsidR="00F401A9" w:rsidRDefault="00F401A9" w:rsidP="00D14E71">
      <w:pPr>
        <w:ind w:left="708"/>
        <w:jc w:val="both"/>
      </w:pPr>
      <w:r>
        <w:t xml:space="preserve">Antiguo Cuscatlán utiliza la estación de transferencia ubicada en kilómetro 28 ½, Cantón Valle Verde, en el tramo de carretera que conduce de Sonsonate a Colón,  municipio de Colón, departamento de La Libertad y de la estación de transferencia los desechos sólidos son trasladados y depositados en el relleno sanitario de Sonsonate, ubicado en cantón Salinas de </w:t>
      </w:r>
      <w:proofErr w:type="spellStart"/>
      <w:r>
        <w:t>Ayacachapa</w:t>
      </w:r>
      <w:proofErr w:type="spellEnd"/>
      <w:r>
        <w:t xml:space="preserve">, departamento de Sonsonate. </w:t>
      </w:r>
    </w:p>
    <w:p w:rsidR="00F401A9" w:rsidRDefault="00F401A9" w:rsidP="00D14E71">
      <w:pPr>
        <w:ind w:left="708"/>
        <w:jc w:val="both"/>
      </w:pPr>
      <w:r>
        <w:t xml:space="preserve">La municipalidad de Mejicanos, deposita los desechos sólidos municipales directamente en el relleno sanitario de MIDES ubicado en el cantón </w:t>
      </w:r>
      <w:proofErr w:type="spellStart"/>
      <w:r>
        <w:t>Camotepec</w:t>
      </w:r>
      <w:proofErr w:type="spellEnd"/>
      <w:r>
        <w:t xml:space="preserve">, municipio de </w:t>
      </w:r>
      <w:proofErr w:type="spellStart"/>
      <w:r>
        <w:t>Nejapa</w:t>
      </w:r>
      <w:proofErr w:type="spellEnd"/>
      <w:r>
        <w:t xml:space="preserve">, departamento de San Salvador.  </w:t>
      </w:r>
    </w:p>
    <w:p w:rsidR="00F61656" w:rsidRPr="00921F4B" w:rsidRDefault="00F401A9" w:rsidP="00D14E71">
      <w:pPr>
        <w:pStyle w:val="Prrafodelista"/>
        <w:numPr>
          <w:ilvl w:val="0"/>
          <w:numId w:val="1"/>
        </w:numPr>
        <w:jc w:val="both"/>
        <w:rPr>
          <w:b/>
        </w:rPr>
      </w:pPr>
      <w:r w:rsidRPr="00921F4B">
        <w:rPr>
          <w:b/>
        </w:rPr>
        <w:t>Donde están ubicados los rellenos sanitarios donde Antiguo  Cuscatlán y Mejicanos hacen la disposición final</w:t>
      </w:r>
      <w:proofErr w:type="gramStart"/>
      <w:r w:rsidR="00F61656" w:rsidRPr="00921F4B">
        <w:rPr>
          <w:b/>
        </w:rPr>
        <w:t>?</w:t>
      </w:r>
      <w:proofErr w:type="gramEnd"/>
    </w:p>
    <w:p w:rsidR="00F61656" w:rsidRDefault="00F61656" w:rsidP="00D14E71">
      <w:pPr>
        <w:ind w:left="708"/>
        <w:jc w:val="both"/>
      </w:pPr>
      <w:r>
        <w:t>V</w:t>
      </w:r>
      <w:r w:rsidR="00F401A9">
        <w:t xml:space="preserve">er respuesta anterior.  · </w:t>
      </w:r>
    </w:p>
    <w:p w:rsidR="00F61656" w:rsidRPr="00921F4B" w:rsidRDefault="00F61656" w:rsidP="00D14E71">
      <w:pPr>
        <w:pStyle w:val="Prrafodelista"/>
        <w:numPr>
          <w:ilvl w:val="0"/>
          <w:numId w:val="1"/>
        </w:numPr>
        <w:jc w:val="both"/>
        <w:rPr>
          <w:b/>
        </w:rPr>
      </w:pPr>
      <w:r w:rsidRPr="00921F4B">
        <w:rPr>
          <w:b/>
        </w:rPr>
        <w:t>En qué condiciones se encuentran  las plantas de transferencia y los rellenos sanitarios que utilizan ambos municipios</w:t>
      </w:r>
      <w:proofErr w:type="gramStart"/>
      <w:r w:rsidRPr="00921F4B">
        <w:rPr>
          <w:b/>
        </w:rPr>
        <w:t>?</w:t>
      </w:r>
      <w:proofErr w:type="gramEnd"/>
    </w:p>
    <w:p w:rsidR="00C433FC" w:rsidRDefault="00F401A9" w:rsidP="00D14E71">
      <w:pPr>
        <w:ind w:left="708"/>
        <w:jc w:val="both"/>
      </w:pPr>
      <w:r>
        <w:t xml:space="preserve">La estación de transferencia de Colón es de descarga indirecta, hacen uso de maquinaria, como tractor para cargar las góndolas. · </w:t>
      </w:r>
    </w:p>
    <w:p w:rsidR="00C433FC" w:rsidRPr="00921F4B" w:rsidRDefault="00F401A9" w:rsidP="00D14E71">
      <w:pPr>
        <w:pStyle w:val="Prrafodelista"/>
        <w:numPr>
          <w:ilvl w:val="0"/>
          <w:numId w:val="1"/>
        </w:numPr>
        <w:jc w:val="both"/>
        <w:rPr>
          <w:b/>
        </w:rPr>
      </w:pPr>
      <w:r w:rsidRPr="00921F4B">
        <w:rPr>
          <w:b/>
        </w:rPr>
        <w:t>Cuentan los municipios de Antiguo Cuscatlán y Mejicanos con una ruta defini</w:t>
      </w:r>
      <w:r w:rsidR="00C433FC" w:rsidRPr="00921F4B">
        <w:rPr>
          <w:b/>
        </w:rPr>
        <w:t>da de recolección de residuos só</w:t>
      </w:r>
      <w:r w:rsidRPr="00921F4B">
        <w:rPr>
          <w:b/>
        </w:rPr>
        <w:t>lidos (y días)</w:t>
      </w:r>
      <w:proofErr w:type="gramStart"/>
      <w:r w:rsidR="00C433FC" w:rsidRPr="00921F4B">
        <w:rPr>
          <w:b/>
        </w:rPr>
        <w:t>?</w:t>
      </w:r>
      <w:proofErr w:type="gramEnd"/>
    </w:p>
    <w:p w:rsidR="00C433FC" w:rsidRDefault="00F401A9" w:rsidP="00D14E71">
      <w:pPr>
        <w:ind w:left="708"/>
        <w:jc w:val="both"/>
      </w:pPr>
      <w:r>
        <w:t xml:space="preserve">Esta pregunta debe hacerla directamente a las municipalidades para que le proporcione la información de las rutas de recolección. · </w:t>
      </w:r>
    </w:p>
    <w:p w:rsidR="00C433FC" w:rsidRDefault="00F401A9" w:rsidP="00D14E71">
      <w:pPr>
        <w:pStyle w:val="Prrafodelista"/>
        <w:numPr>
          <w:ilvl w:val="0"/>
          <w:numId w:val="1"/>
        </w:numPr>
        <w:jc w:val="both"/>
      </w:pPr>
      <w:r w:rsidRPr="00921F4B">
        <w:rPr>
          <w:b/>
        </w:rPr>
        <w:t>Cuanto tiempo es el máximo que pueden pasar los residuos sólidos en una planta de transferencia</w:t>
      </w:r>
      <w:proofErr w:type="gramStart"/>
      <w:r w:rsidR="00C433FC">
        <w:t>?</w:t>
      </w:r>
      <w:proofErr w:type="gramEnd"/>
    </w:p>
    <w:p w:rsidR="005F2A07" w:rsidRDefault="00F401A9" w:rsidP="00D14E71">
      <w:pPr>
        <w:ind w:left="708"/>
        <w:jc w:val="both"/>
      </w:pPr>
      <w:r>
        <w:t xml:space="preserve">MARN DIARIO OFICIAL 27/SEPT/2016 No. 178 TOMO 412. ACUERDO No.258 MODIFICACIÓN DE LA CATEGORIZACIÓN DE ACTIVIDADES, OBRAS O PROYECTOS De acuerdo a la Categorización de actividades, obras o proyectos: Actividades, obras o proyectos con impacto ambiental potencial moderado o alto (PIAMA) Se consideran </w:t>
      </w:r>
      <w:r>
        <w:lastRenderedPageBreak/>
        <w:t xml:space="preserve">dentro de esta categoría aquellas estaciones de transferencia con un área mayor a 7,000 m2, que manejen más de 60 toneladas por día, con un tiempo de residencia en el sitio mayor a veinticuatro (24) horas, con carga directa e indirecta con tolva e impermeabilización de los pisos de las áreas de carga y descarga, pudiendo encontrarse en instalaciones abiertas o cerradas, aunque como mínimo deberá techarse y cerrarse los tres costados de la descarga, el ingreso podrá ser mayor a un ángulo de 30 grados, pero deberá presentar un estudio de tráfico que determine la necesidad o no de un carril de desaceleración; con evidencia de haber socializado el proyecto en un radio de 300 metros; además, deberán contar con señalización, áreas de lavado de vehículos, y deberán presentar una propuesta de captación, almacenamiento temporal y disposición de lixiviados, así como la factibilidad de recepción de desechos en el sitio de disposición final autorizado por este Ministerio.   Que cuente con suficiente área para construcción de infraestructura y área libre para la circulación, maniobra y estacionamiento de vehículos (góndolas o vehículos de recolección), con la posibilidad de calle marginal y/o de construir carril de desaceleración. **Las actividades, obras o proyectos con impacto ambiental potencial leve (PIAL) deberán cumplir, entre otras que se señalen en la Resolución Ministerial respectiva, de ser pertinente, como mínimo, los siguientes lineamientos de cumplimiento obligatorio: 1.Señalización exterior (atendiendo la normativa vigente: como mínimo reducción de velocidad, ingreso de vehículos pesados a instalados a la distancia recomendada por la autoridad competente, rótulo indicativo del proyecto, entre otros). </w:t>
      </w:r>
      <w:proofErr w:type="gramStart"/>
      <w:r>
        <w:t>2.Construcción</w:t>
      </w:r>
      <w:proofErr w:type="gramEnd"/>
      <w:r>
        <w:t xml:space="preserve"> de cerco o muro perimetral de malla ciclón o tapial e instalación de portón de seguridad, que impida el ingreso de animales y personas ajenas al proyecto. </w:t>
      </w:r>
      <w:proofErr w:type="gramStart"/>
      <w:r>
        <w:t>3.Arborización</w:t>
      </w:r>
      <w:proofErr w:type="gramEnd"/>
      <w:r>
        <w:t xml:space="preserve"> al entorno con especies de follajes perennes y aromáticos. </w:t>
      </w:r>
      <w:proofErr w:type="gramStart"/>
      <w:r>
        <w:t>4.Contar</w:t>
      </w:r>
      <w:proofErr w:type="gramEnd"/>
      <w:r>
        <w:t xml:space="preserve"> con Plan de Control de Vectores avalado por Ministerio de Salud. </w:t>
      </w:r>
      <w:proofErr w:type="gramStart"/>
      <w:r>
        <w:t>5.En</w:t>
      </w:r>
      <w:proofErr w:type="gramEnd"/>
      <w:r>
        <w:t xml:space="preserve"> el entorno no se permitirán que se instalen centros de acopio de materiales reciclables, a menos de 500 metros. </w:t>
      </w:r>
      <w:proofErr w:type="gramStart"/>
      <w:r>
        <w:t>6.El</w:t>
      </w:r>
      <w:proofErr w:type="gramEnd"/>
      <w:r>
        <w:t xml:space="preserve"> tiempo máximo de estadía de vehículos cargados será de 24 horas, cubiertos con lona impermeable. </w:t>
      </w:r>
      <w:proofErr w:type="gramStart"/>
      <w:r>
        <w:t>7.La</w:t>
      </w:r>
      <w:proofErr w:type="gramEnd"/>
      <w:r>
        <w:t xml:space="preserve"> propuesta para el manejo de lixiviados deberá incluir un sistema de captación mínima de 2 metros cúbicos que serán trasladados al sitio de disposición final. No se permite tratamiento en el lugar, ni descarga al sistema de alcantarillado. </w:t>
      </w:r>
      <w:proofErr w:type="gramStart"/>
      <w:r>
        <w:t>8.Una</w:t>
      </w:r>
      <w:proofErr w:type="gramEnd"/>
      <w:r>
        <w:t xml:space="preserve"> propuesta para el manejo de aguas lluvias de todo el terreno y del proyecto. </w:t>
      </w:r>
      <w:proofErr w:type="gramStart"/>
      <w:r>
        <w:t>9.Contar</w:t>
      </w:r>
      <w:proofErr w:type="gramEnd"/>
      <w:r>
        <w:t xml:space="preserve"> al interior del terreno con una zona de retiro de por lo menos 10.0 metros a partir del lindero del terreno. En dicha zona de retiro no se podrá construir infraestructura de carga y descarga. 10</w:t>
      </w:r>
      <w:proofErr w:type="gramStart"/>
      <w:r>
        <w:t>.El</w:t>
      </w:r>
      <w:proofErr w:type="gramEnd"/>
      <w:r>
        <w:t xml:space="preserve"> servicio de trasbordo deberá realizarse en vehículos o contenedores diseñados para el transporte de desechos sólidos, que se incorporaran para el funcionamiento de Estaciones de Transferencia al momento de iniciar el proyecto o un período máximo de dos años después de haber iniciado. 11</w:t>
      </w:r>
      <w:proofErr w:type="gramStart"/>
      <w:r>
        <w:t>.Deberá</w:t>
      </w:r>
      <w:proofErr w:type="gramEnd"/>
      <w:r>
        <w:t xml:space="preserve"> techarse y cerrarse como mínimo los tres costados de la descarga, para minimizar ruido, ingreso de la lluvia y la dispersión de desechos. 12</w:t>
      </w:r>
      <w:proofErr w:type="gramStart"/>
      <w:r>
        <w:t>.El</w:t>
      </w:r>
      <w:proofErr w:type="gramEnd"/>
      <w:r>
        <w:t xml:space="preserve"> piso de la totalidad del área de carga y descarga deberá estar impermeabilizado, para evitar la infiltración de lixiviados al suelo. 13</w:t>
      </w:r>
      <w:proofErr w:type="gramStart"/>
      <w:r>
        <w:t>.Considerar</w:t>
      </w:r>
      <w:proofErr w:type="gramEnd"/>
      <w:r>
        <w:t xml:space="preserve"> durante la etapa de diseño de la Planta, la orientación predominante de los vientos. 14</w:t>
      </w:r>
      <w:proofErr w:type="gramStart"/>
      <w:r>
        <w:t>.Presentar</w:t>
      </w:r>
      <w:proofErr w:type="gramEnd"/>
      <w:r>
        <w:t xml:space="preserve"> encuesta/constancia de conformidad/aceptación de los vecinos en el área de influencia del proyecto, cada dos años después de iniciado. Se debe contar con </w:t>
      </w:r>
      <w:r>
        <w:lastRenderedPageBreak/>
        <w:t>línea base de población del área de influencia. 15</w:t>
      </w:r>
      <w:proofErr w:type="gramStart"/>
      <w:r>
        <w:t>.Proyecto</w:t>
      </w:r>
      <w:proofErr w:type="gramEnd"/>
      <w:r>
        <w:t xml:space="preserve"> y entorno social sujetos a ser revisados y evaluados cada dos años. 16</w:t>
      </w:r>
      <w:proofErr w:type="gramStart"/>
      <w:r>
        <w:t>.Presentar</w:t>
      </w:r>
      <w:proofErr w:type="gramEnd"/>
      <w:r>
        <w:t xml:space="preserve"> el informe operacional anual.     · </w:t>
      </w:r>
    </w:p>
    <w:p w:rsidR="005F2A07" w:rsidRPr="00921F4B" w:rsidRDefault="00F401A9" w:rsidP="00D14E71">
      <w:pPr>
        <w:pStyle w:val="Prrafodelista"/>
        <w:numPr>
          <w:ilvl w:val="0"/>
          <w:numId w:val="1"/>
        </w:numPr>
        <w:jc w:val="both"/>
        <w:rPr>
          <w:b/>
        </w:rPr>
      </w:pPr>
      <w:r w:rsidRPr="00921F4B">
        <w:rPr>
          <w:b/>
        </w:rPr>
        <w:t>Cual debe de ser el diseño básico y funcionamiento ideal de una planta de transferencia</w:t>
      </w:r>
      <w:proofErr w:type="gramStart"/>
      <w:r w:rsidR="005F2A07" w:rsidRPr="00921F4B">
        <w:rPr>
          <w:b/>
        </w:rPr>
        <w:t>?</w:t>
      </w:r>
      <w:proofErr w:type="gramEnd"/>
    </w:p>
    <w:p w:rsidR="005F2A07" w:rsidRDefault="005F2A07" w:rsidP="00D14E71">
      <w:pPr>
        <w:ind w:left="708"/>
        <w:jc w:val="both"/>
      </w:pPr>
      <w:r>
        <w:t>V</w:t>
      </w:r>
      <w:r w:rsidR="00F401A9">
        <w:t xml:space="preserve">er respuesta anterior en la que se describen algunas de las características de las estaciones de transferencia. · </w:t>
      </w:r>
    </w:p>
    <w:p w:rsidR="005F2A07" w:rsidRDefault="00F401A9" w:rsidP="00D14E71">
      <w:pPr>
        <w:pStyle w:val="Prrafodelista"/>
        <w:numPr>
          <w:ilvl w:val="0"/>
          <w:numId w:val="1"/>
        </w:numPr>
        <w:jc w:val="both"/>
      </w:pPr>
      <w:r w:rsidRPr="00921F4B">
        <w:rPr>
          <w:b/>
        </w:rPr>
        <w:t xml:space="preserve">Cuanto de destina del FODES para la recolección de residuos sólidos o saneamiento (si se destina en Antiguo </w:t>
      </w:r>
      <w:proofErr w:type="spellStart"/>
      <w:r w:rsidRPr="00921F4B">
        <w:rPr>
          <w:b/>
        </w:rPr>
        <w:t>Cucatlán</w:t>
      </w:r>
      <w:proofErr w:type="spellEnd"/>
      <w:r w:rsidRPr="00921F4B">
        <w:rPr>
          <w:b/>
        </w:rPr>
        <w:t xml:space="preserve"> y Mejicanos)</w:t>
      </w:r>
      <w:r>
        <w:t xml:space="preserve"> </w:t>
      </w:r>
    </w:p>
    <w:p w:rsidR="005F2A07" w:rsidRDefault="00F401A9" w:rsidP="00D14E71">
      <w:pPr>
        <w:ind w:left="708"/>
        <w:jc w:val="both"/>
      </w:pPr>
      <w:r>
        <w:t>Esta pregunta debe hacerla directamente a las municipalidades para que le proporcionen la información del FODES o hacer la consulta a ISDEM. ·</w:t>
      </w:r>
    </w:p>
    <w:p w:rsidR="005F2A07" w:rsidRDefault="00F401A9" w:rsidP="00D14E71">
      <w:pPr>
        <w:pStyle w:val="Prrafodelista"/>
        <w:numPr>
          <w:ilvl w:val="0"/>
          <w:numId w:val="1"/>
        </w:numPr>
        <w:jc w:val="both"/>
      </w:pPr>
      <w:r w:rsidRPr="00921F4B">
        <w:rPr>
          <w:b/>
        </w:rPr>
        <w:t>Se tiene actualización de ordenanzas municipales de Antiguo Cuscatlán y Mejicanos sobre tasas de recolección</w:t>
      </w:r>
      <w:proofErr w:type="gramStart"/>
      <w:r w:rsidRPr="00921F4B">
        <w:rPr>
          <w:b/>
        </w:rPr>
        <w:t>?</w:t>
      </w:r>
      <w:proofErr w:type="gramEnd"/>
      <w:r>
        <w:t xml:space="preserve"> </w:t>
      </w:r>
    </w:p>
    <w:p w:rsidR="007359EB" w:rsidRDefault="00F401A9" w:rsidP="00D14E71">
      <w:pPr>
        <w:ind w:left="708"/>
        <w:jc w:val="both"/>
      </w:pPr>
      <w:r>
        <w:t>Esta pregunta debe hacerla directamente a las municipalidades para que le proporcionen la información de las ordenanzas municipales. ·</w:t>
      </w:r>
    </w:p>
    <w:p w:rsidR="00921F4B" w:rsidRDefault="00F401A9" w:rsidP="00D14E71">
      <w:pPr>
        <w:pStyle w:val="Prrafodelista"/>
        <w:numPr>
          <w:ilvl w:val="0"/>
          <w:numId w:val="1"/>
        </w:numPr>
        <w:jc w:val="both"/>
      </w:pPr>
      <w:r w:rsidRPr="00921F4B">
        <w:rPr>
          <w:b/>
        </w:rPr>
        <w:t>Con el vencimiento del contrato mides, ¿con quién se trabajara a partir de este año o si Antiguo Cuscatlán o Mejicanos renovaron con MIDES?</w:t>
      </w:r>
    </w:p>
    <w:p w:rsidR="00643D76" w:rsidRDefault="00F401A9" w:rsidP="00D14E71">
      <w:pPr>
        <w:ind w:left="708"/>
        <w:jc w:val="both"/>
      </w:pPr>
      <w:r>
        <w:t>Esta pregunta debe hacerla directamente a las municipalidades, COMURES – OPAMSS ·</w:t>
      </w:r>
    </w:p>
    <w:p w:rsidR="00921F4B" w:rsidRDefault="00F401A9" w:rsidP="00D14E71">
      <w:pPr>
        <w:pStyle w:val="Prrafodelista"/>
        <w:numPr>
          <w:ilvl w:val="0"/>
          <w:numId w:val="1"/>
        </w:numPr>
        <w:jc w:val="both"/>
      </w:pPr>
      <w:r w:rsidRPr="00921F4B">
        <w:rPr>
          <w:b/>
        </w:rPr>
        <w:t xml:space="preserve">Si la alcaldía de Antiguo Cuscatlán y </w:t>
      </w:r>
      <w:proofErr w:type="gramStart"/>
      <w:r w:rsidRPr="00921F4B">
        <w:rPr>
          <w:b/>
        </w:rPr>
        <w:t>Mejicanos</w:t>
      </w:r>
      <w:proofErr w:type="gramEnd"/>
      <w:r w:rsidRPr="00921F4B">
        <w:rPr>
          <w:b/>
        </w:rPr>
        <w:t xml:space="preserve"> cuentan con el 100% de recolección de residuos.</w:t>
      </w:r>
    </w:p>
    <w:p w:rsidR="00643D76" w:rsidRDefault="00F401A9" w:rsidP="00D14E71">
      <w:pPr>
        <w:ind w:left="708"/>
        <w:jc w:val="both"/>
      </w:pPr>
      <w:r>
        <w:t>Esta pregunta debe hacerla directamente a las municipalidades para que le proporcione la información de la cobertura de recolección. ·</w:t>
      </w:r>
    </w:p>
    <w:p w:rsidR="00643D76" w:rsidRDefault="00F401A9" w:rsidP="00D14E71">
      <w:pPr>
        <w:pStyle w:val="Prrafodelista"/>
        <w:numPr>
          <w:ilvl w:val="0"/>
          <w:numId w:val="1"/>
        </w:numPr>
        <w:jc w:val="both"/>
      </w:pPr>
      <w:r w:rsidRPr="00921F4B">
        <w:rPr>
          <w:b/>
        </w:rPr>
        <w:t>Si utilizan vehículos propios de la alcaldía o en qué calidad los tienen</w:t>
      </w:r>
      <w:r>
        <w:t xml:space="preserve">. </w:t>
      </w:r>
    </w:p>
    <w:p w:rsidR="001D0F3B" w:rsidRDefault="00F401A9" w:rsidP="00D14E71">
      <w:pPr>
        <w:ind w:left="708"/>
        <w:jc w:val="both"/>
      </w:pPr>
      <w:r>
        <w:t>Esta pregunta debe hacerla directamente a las municipalidades para que le proporcione la información de los camiones recolectores.</w:t>
      </w:r>
    </w:p>
    <w:sectPr w:rsidR="001D0F3B" w:rsidSect="008C7B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48B"/>
    <w:multiLevelType w:val="hybridMultilevel"/>
    <w:tmpl w:val="986E4B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01A9"/>
    <w:rsid w:val="005F2A07"/>
    <w:rsid w:val="00643D76"/>
    <w:rsid w:val="007359EB"/>
    <w:rsid w:val="008C7B17"/>
    <w:rsid w:val="00921F4B"/>
    <w:rsid w:val="00C27D06"/>
    <w:rsid w:val="00C433FC"/>
    <w:rsid w:val="00D05B55"/>
    <w:rsid w:val="00D14E71"/>
    <w:rsid w:val="00F401A9"/>
    <w:rsid w:val="00F6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B17"/>
  </w:style>
  <w:style w:type="paragraph" w:styleId="Ttulo1">
    <w:name w:val="heading 1"/>
    <w:basedOn w:val="Normal"/>
    <w:link w:val="Ttulo1Car"/>
    <w:uiPriority w:val="9"/>
    <w:qFormat/>
    <w:rsid w:val="00F616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01A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61656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Prrafodelista">
    <w:name w:val="List Paragraph"/>
    <w:basedOn w:val="Normal"/>
    <w:uiPriority w:val="34"/>
    <w:qFormat/>
    <w:rsid w:val="00921F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1084</Words>
  <Characters>5963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salvarenga</dc:creator>
  <cp:lastModifiedBy>salvarenga</cp:lastModifiedBy>
  <cp:revision>7</cp:revision>
  <dcterms:created xsi:type="dcterms:W3CDTF">2019-10-23T16:52:00Z</dcterms:created>
  <dcterms:modified xsi:type="dcterms:W3CDTF">2019-10-23T17:25:00Z</dcterms:modified>
</cp:coreProperties>
</file>