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F0" w:rsidRPr="00D61834" w:rsidRDefault="00D61834" w:rsidP="00D61834">
      <w:pPr>
        <w:jc w:val="center"/>
        <w:rPr>
          <w:rFonts w:ascii="Arial" w:hAnsi="Arial"/>
          <w:b/>
          <w:sz w:val="22"/>
          <w:szCs w:val="22"/>
          <w:lang w:val="es-SV"/>
        </w:rPr>
      </w:pPr>
      <w:bookmarkStart w:id="0" w:name="_GoBack"/>
      <w:bookmarkEnd w:id="0"/>
      <w:r w:rsidRPr="00D61834">
        <w:rPr>
          <w:rFonts w:ascii="Arial" w:hAnsi="Arial"/>
          <w:b/>
          <w:sz w:val="22"/>
          <w:szCs w:val="22"/>
          <w:lang w:val="es-SV"/>
        </w:rPr>
        <w:t>DIRECCION GENERAL DE EVALUACION Y CUMPLIMIENTO</w:t>
      </w:r>
    </w:p>
    <w:p w:rsidR="00D61834" w:rsidRDefault="00D61834" w:rsidP="00F95F20">
      <w:pPr>
        <w:rPr>
          <w:rFonts w:ascii="Arial" w:hAnsi="Arial"/>
          <w:sz w:val="22"/>
          <w:szCs w:val="22"/>
          <w:lang w:val="es-SV"/>
        </w:rPr>
      </w:pPr>
    </w:p>
    <w:p w:rsidR="00D61834" w:rsidRDefault="0073204A" w:rsidP="00F95F20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  <w:r>
        <w:rPr>
          <w:rFonts w:ascii="Arial" w:hAnsi="Arial"/>
          <w:b/>
          <w:i/>
          <w:sz w:val="22"/>
          <w:szCs w:val="22"/>
          <w:u w:val="single"/>
          <w:lang w:val="es-SV"/>
        </w:rPr>
        <w:t>Re</w:t>
      </w:r>
      <w:r w:rsidR="00E2785A">
        <w:rPr>
          <w:rFonts w:ascii="Arial" w:hAnsi="Arial"/>
          <w:b/>
          <w:i/>
          <w:sz w:val="22"/>
          <w:szCs w:val="22"/>
          <w:u w:val="single"/>
          <w:lang w:val="es-SV"/>
        </w:rPr>
        <w:t>spuesta solicitud MARN-2019-000</w:t>
      </w:r>
      <w:r w:rsidR="004A4829">
        <w:rPr>
          <w:rFonts w:ascii="Arial" w:hAnsi="Arial"/>
          <w:b/>
          <w:i/>
          <w:sz w:val="22"/>
          <w:szCs w:val="22"/>
          <w:u w:val="single"/>
          <w:lang w:val="es-SV"/>
        </w:rPr>
        <w:t>5</w:t>
      </w:r>
    </w:p>
    <w:p w:rsidR="0073204A" w:rsidRDefault="0073204A" w:rsidP="00F95F20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p w:rsidR="00BF4A87" w:rsidRPr="00D61834" w:rsidRDefault="00BF4A87" w:rsidP="00BF4A87">
      <w:pPr>
        <w:jc w:val="both"/>
        <w:rPr>
          <w:rFonts w:ascii="Arial" w:hAnsi="Arial"/>
          <w:b/>
          <w:i/>
          <w:sz w:val="22"/>
          <w:szCs w:val="22"/>
          <w:u w:val="single"/>
          <w:lang w:val="es-SV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En atención al requerimiento realizado, remito información sobre procedimientos sancionatorios en los que se impusieron multas, para los años del </w:t>
      </w:r>
      <w:r w:rsidR="00D53119">
        <w:rPr>
          <w:rFonts w:ascii="Arial" w:hAnsi="Arial" w:cs="Arial"/>
          <w:color w:val="000000"/>
          <w:shd w:val="clear" w:color="auto" w:fill="FFFFFF"/>
        </w:rPr>
        <w:t xml:space="preserve">2010 al 2011, para los años </w:t>
      </w:r>
      <w:r>
        <w:rPr>
          <w:rFonts w:ascii="Arial" w:hAnsi="Arial" w:cs="Arial"/>
          <w:color w:val="000000"/>
          <w:shd w:val="clear" w:color="auto" w:fill="FFFFFF"/>
        </w:rPr>
        <w:t>2012 al 2015 no se registra ningún caso</w:t>
      </w:r>
      <w:r w:rsidR="00D53119">
        <w:rPr>
          <w:rFonts w:ascii="Arial" w:hAnsi="Arial" w:cs="Arial"/>
          <w:color w:val="000000"/>
          <w:shd w:val="clear" w:color="auto" w:fill="FFFFFF"/>
        </w:rPr>
        <w:t>.</w:t>
      </w:r>
    </w:p>
    <w:p w:rsidR="0073204A" w:rsidRPr="00D53119" w:rsidRDefault="0073204A" w:rsidP="0073204A">
      <w:pPr>
        <w:shd w:val="clear" w:color="auto" w:fill="FFFFFF"/>
        <w:rPr>
          <w:color w:val="222222"/>
          <w:lang w:val="es-SV"/>
        </w:rPr>
      </w:pPr>
    </w:p>
    <w:p w:rsidR="0073204A" w:rsidRDefault="0073204A" w:rsidP="0073204A">
      <w:pPr>
        <w:shd w:val="clear" w:color="auto" w:fill="FFFFFF"/>
        <w:rPr>
          <w:color w:val="222222"/>
        </w:rPr>
      </w:pPr>
      <w:r>
        <w:rPr>
          <w:color w:val="1F497D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0"/>
        <w:gridCol w:w="1674"/>
        <w:gridCol w:w="1794"/>
        <w:gridCol w:w="2088"/>
        <w:gridCol w:w="2252"/>
      </w:tblGrid>
      <w:tr w:rsidR="00B550C0" w:rsidRPr="00B550C0" w:rsidTr="00B550C0">
        <w:trPr>
          <w:trHeight w:val="600"/>
        </w:trPr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F4A87" w:rsidRDefault="00B550C0" w:rsidP="00B550C0">
            <w:pPr>
              <w:jc w:val="center"/>
              <w:rPr>
                <w:rFonts w:ascii="Times New Roman" w:eastAsia="Times New Roman" w:hAnsi="Times New Roman"/>
                <w:b/>
                <w:i/>
                <w:color w:val="222222"/>
                <w:sz w:val="20"/>
                <w:szCs w:val="20"/>
                <w:lang w:val="es-SV" w:eastAsia="es-SV"/>
              </w:rPr>
            </w:pPr>
            <w:r w:rsidRPr="00BF4A87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s-SV" w:eastAsia="es-SV"/>
              </w:rPr>
              <w:t>AÑO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F4A87" w:rsidRDefault="00B550C0" w:rsidP="00B550C0">
            <w:pPr>
              <w:jc w:val="center"/>
              <w:rPr>
                <w:rFonts w:ascii="Times New Roman" w:eastAsia="Times New Roman" w:hAnsi="Times New Roman"/>
                <w:b/>
                <w:i/>
                <w:color w:val="222222"/>
                <w:sz w:val="20"/>
                <w:szCs w:val="20"/>
                <w:lang w:val="es-SV" w:eastAsia="es-SV"/>
              </w:rPr>
            </w:pPr>
            <w:r w:rsidRPr="00BF4A87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s-SV" w:eastAsia="es-SV"/>
              </w:rPr>
              <w:t>FASE EN LA QUE SE ENCUENTRA EL PAS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F4A87" w:rsidRDefault="00B550C0" w:rsidP="00B550C0">
            <w:pPr>
              <w:jc w:val="center"/>
              <w:rPr>
                <w:rFonts w:ascii="Times New Roman" w:eastAsia="Times New Roman" w:hAnsi="Times New Roman"/>
                <w:b/>
                <w:i/>
                <w:color w:val="222222"/>
                <w:sz w:val="20"/>
                <w:szCs w:val="20"/>
                <w:lang w:val="es-SV" w:eastAsia="es-SV"/>
              </w:rPr>
            </w:pPr>
            <w:r w:rsidRPr="00BF4A87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s-SV" w:eastAsia="es-SV"/>
              </w:rPr>
              <w:t>NUMERO DE EXPEDIENTE DE PAS</w:t>
            </w:r>
          </w:p>
        </w:tc>
        <w:tc>
          <w:tcPr>
            <w:tcW w:w="1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F4A87" w:rsidRDefault="00B550C0" w:rsidP="00B550C0">
            <w:pPr>
              <w:jc w:val="center"/>
              <w:rPr>
                <w:rFonts w:ascii="Times New Roman" w:eastAsia="Times New Roman" w:hAnsi="Times New Roman"/>
                <w:b/>
                <w:i/>
                <w:color w:val="222222"/>
                <w:sz w:val="20"/>
                <w:szCs w:val="20"/>
                <w:lang w:val="es-SV" w:eastAsia="es-SV"/>
              </w:rPr>
            </w:pPr>
            <w:r w:rsidRPr="00BF4A87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s-SV" w:eastAsia="es-SV"/>
              </w:rPr>
              <w:t>NOMBRE DEL PROYECTO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F4A87" w:rsidRDefault="00B550C0" w:rsidP="00B550C0">
            <w:pPr>
              <w:jc w:val="center"/>
              <w:rPr>
                <w:rFonts w:ascii="Times New Roman" w:eastAsia="Times New Roman" w:hAnsi="Times New Roman"/>
                <w:b/>
                <w:i/>
                <w:color w:val="222222"/>
                <w:sz w:val="20"/>
                <w:szCs w:val="20"/>
                <w:lang w:val="es-SV" w:eastAsia="es-SV"/>
              </w:rPr>
            </w:pPr>
            <w:r w:rsidRPr="00BF4A87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val="es-SV" w:eastAsia="es-SV"/>
              </w:rPr>
              <w:t>PRESUNTO INFRACTOR</w:t>
            </w:r>
          </w:p>
        </w:tc>
      </w:tr>
      <w:tr w:rsidR="00B550C0" w:rsidRPr="00B550C0" w:rsidTr="00B550C0">
        <w:trPr>
          <w:trHeight w:val="90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2010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FINALIZADO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MARN-Nº004-PAS-2010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SITUACION INSALUBRE POR DESECHOS SOLIDOS EN SANTA ANA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ALCALDIA MUNICIPAL DE SANTA ANA</w:t>
            </w:r>
          </w:p>
        </w:tc>
      </w:tr>
      <w:tr w:rsidR="00B550C0" w:rsidRPr="00B550C0" w:rsidTr="00B550C0">
        <w:trPr>
          <w:trHeight w:val="60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2010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FINALIZADO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MARN-Nº PAS-MP-007-2010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PROCESADORA DE FERTILIZANTES ORGANICOS.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FERTILIZANTES S.A. de C.V.</w:t>
            </w:r>
          </w:p>
        </w:tc>
      </w:tr>
      <w:tr w:rsidR="00B550C0" w:rsidRPr="00B550C0" w:rsidTr="00B550C0">
        <w:trPr>
          <w:trHeight w:val="30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2010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FINALIZADO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MARN-Nº-PAS-008-2010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ELABORACION DE TELA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NEMTEX, S.A. de C.V.</w:t>
            </w:r>
          </w:p>
        </w:tc>
      </w:tr>
      <w:tr w:rsidR="00B550C0" w:rsidRPr="00B550C0" w:rsidTr="00B550C0">
        <w:trPr>
          <w:trHeight w:val="30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2011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FINALIZADO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MARN-Nº-PAS-MP-011-2010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NEMTEX, S.A. de C.V.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NEMTEX, SA. de C.V.</w:t>
            </w:r>
          </w:p>
        </w:tc>
      </w:tr>
      <w:tr w:rsidR="00B550C0" w:rsidRPr="00B550C0" w:rsidTr="00B550C0">
        <w:trPr>
          <w:trHeight w:val="60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2011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FINALIZADO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MARN-PAS-001-2011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BEBIDAS DEL PACÍFICO, S.A DE C.V.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jc w:val="center"/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b/>
                <w:bCs/>
                <w:color w:val="000000"/>
                <w:lang w:val="es-SV" w:eastAsia="es-SV"/>
              </w:rPr>
              <w:t>BEBIDAS DEL PACÍFICO, S.A. DE C.V.</w:t>
            </w:r>
          </w:p>
        </w:tc>
      </w:tr>
      <w:tr w:rsidR="00B550C0" w:rsidRPr="00B550C0" w:rsidTr="00B550C0">
        <w:trPr>
          <w:trHeight w:val="300"/>
        </w:trPr>
        <w:tc>
          <w:tcPr>
            <w:tcW w:w="3746" w:type="pct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rPr>
                <w:rFonts w:ascii="Times New Roman" w:eastAsia="Times New Roman" w:hAnsi="Times New Roman"/>
                <w:color w:val="222222"/>
                <w:lang w:val="es-SV" w:eastAsia="es-SV"/>
              </w:rPr>
            </w:pPr>
            <w:r w:rsidRPr="00B550C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s-SV" w:eastAsia="es-SV"/>
              </w:rPr>
              <w:t>.</w:t>
            </w:r>
          </w:p>
        </w:tc>
        <w:tc>
          <w:tcPr>
            <w:tcW w:w="125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550C0" w:rsidRPr="00B550C0" w:rsidRDefault="00B550C0" w:rsidP="00B550C0">
            <w:pPr>
              <w:rPr>
                <w:rFonts w:ascii="Helvetica" w:eastAsia="Times New Roman" w:hAnsi="Helvetica" w:cs="Helvetica"/>
                <w:color w:val="222222"/>
                <w:lang w:val="es-SV" w:eastAsia="es-SV"/>
              </w:rPr>
            </w:pPr>
          </w:p>
        </w:tc>
      </w:tr>
    </w:tbl>
    <w:p w:rsidR="0073204A" w:rsidRPr="00D61834" w:rsidRDefault="0073204A" w:rsidP="00BF4A87">
      <w:pPr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sectPr w:rsidR="0073204A" w:rsidRPr="00D61834" w:rsidSect="009C0B31">
      <w:headerReference w:type="default" r:id="rId6"/>
      <w:footerReference w:type="default" r:id="rId7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19A" w:rsidRDefault="0066019A" w:rsidP="00851A3B">
      <w:r>
        <w:separator/>
      </w:r>
    </w:p>
  </w:endnote>
  <w:endnote w:type="continuationSeparator" w:id="0">
    <w:p w:rsidR="0066019A" w:rsidRDefault="0066019A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561787">
    <w:pPr>
      <w:pStyle w:val="Piedepgina"/>
    </w:pPr>
    <w:r w:rsidRPr="00561787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4.6pt;margin-top:15.9pt;width:567pt;height:32.8pt;z-index:251657728" filled="f" stroked="f">
          <v:fill o:detectmouseclick="t"/>
          <v:textbox style="mso-next-textbox:#_x0000_s2053" inset=",7.2pt,,7.2pt">
            <w:txbxContent>
              <w:p w:rsidR="00F927C7" w:rsidRDefault="00B405F0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Avenida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y Colonia Las Mercedes,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Edificios MARN (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>instalaciones I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STA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). Tel.: (503) 2132</w:t>
                </w:r>
                <w:r w:rsidR="00F927C7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9418, </w:t>
                </w:r>
              </w:p>
              <w:p w:rsidR="00B405F0" w:rsidRPr="00325DBE" w:rsidRDefault="007901D2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Fax</w:t>
                </w:r>
                <w:proofErr w:type="gramStart"/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.:</w:t>
                </w:r>
                <w:proofErr w:type="gramEnd"/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(503) 2132</w:t>
                </w:r>
                <w:r w:rsidR="00F927C7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9420. Correo electrónico: </w:t>
                </w:r>
                <w:hyperlink r:id="rId1" w:history="1">
                  <w:r w:rsidRPr="00A56163">
                    <w:rPr>
                      <w:rStyle w:val="Hipervnculo"/>
                      <w:rFonts w:ascii="Arial" w:hAnsi="Arial"/>
                      <w:sz w:val="16"/>
                      <w:szCs w:val="16"/>
                    </w:rPr>
                    <w:t>despacho@marn.gob.sv</w:t>
                  </w:r>
                </w:hyperlink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. 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19A" w:rsidRDefault="0066019A" w:rsidP="00851A3B">
      <w:r>
        <w:separator/>
      </w:r>
    </w:p>
  </w:footnote>
  <w:footnote w:type="continuationSeparator" w:id="0">
    <w:p w:rsidR="0066019A" w:rsidRDefault="0066019A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3B6F" w:rsidP="00801970">
    <w:pPr>
      <w:pStyle w:val="Encabezado"/>
      <w:jc w:val="center"/>
    </w:pPr>
    <w:r>
      <w:rPr>
        <w:noProof/>
        <w:lang w:val="es-SV" w:eastAsia="es-SV"/>
      </w:rPr>
      <w:drawing>
        <wp:inline distT="0" distB="0" distL="0" distR="0">
          <wp:extent cx="2647950" cy="1250950"/>
          <wp:effectExtent l="0" t="0" r="0" b="0"/>
          <wp:docPr id="1" name="Imagen 1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50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901D2"/>
    <w:rsid w:val="00005A82"/>
    <w:rsid w:val="00023FC9"/>
    <w:rsid w:val="0008340F"/>
    <w:rsid w:val="000E482B"/>
    <w:rsid w:val="00151A75"/>
    <w:rsid w:val="00163B6F"/>
    <w:rsid w:val="0018708C"/>
    <w:rsid w:val="002D3802"/>
    <w:rsid w:val="00306F75"/>
    <w:rsid w:val="00325DBE"/>
    <w:rsid w:val="00341AC9"/>
    <w:rsid w:val="00371378"/>
    <w:rsid w:val="003C6F4F"/>
    <w:rsid w:val="003D19AB"/>
    <w:rsid w:val="003F41CC"/>
    <w:rsid w:val="00467876"/>
    <w:rsid w:val="004A4829"/>
    <w:rsid w:val="004D7602"/>
    <w:rsid w:val="004F36FE"/>
    <w:rsid w:val="00561787"/>
    <w:rsid w:val="005925A9"/>
    <w:rsid w:val="00612401"/>
    <w:rsid w:val="0066019A"/>
    <w:rsid w:val="006D1CE2"/>
    <w:rsid w:val="00724159"/>
    <w:rsid w:val="0073204A"/>
    <w:rsid w:val="00767807"/>
    <w:rsid w:val="007901D2"/>
    <w:rsid w:val="007C0A67"/>
    <w:rsid w:val="00801970"/>
    <w:rsid w:val="0080783B"/>
    <w:rsid w:val="0082651F"/>
    <w:rsid w:val="00851A3B"/>
    <w:rsid w:val="00855D0C"/>
    <w:rsid w:val="00861644"/>
    <w:rsid w:val="008978E6"/>
    <w:rsid w:val="008D54C0"/>
    <w:rsid w:val="009C0B31"/>
    <w:rsid w:val="009D2EB5"/>
    <w:rsid w:val="00A363DE"/>
    <w:rsid w:val="00AC3234"/>
    <w:rsid w:val="00AD4D08"/>
    <w:rsid w:val="00B30173"/>
    <w:rsid w:val="00B405F0"/>
    <w:rsid w:val="00B550C0"/>
    <w:rsid w:val="00B5547E"/>
    <w:rsid w:val="00BC68BA"/>
    <w:rsid w:val="00BF4A87"/>
    <w:rsid w:val="00C8100A"/>
    <w:rsid w:val="00CB7D31"/>
    <w:rsid w:val="00CC08A2"/>
    <w:rsid w:val="00CE6CF9"/>
    <w:rsid w:val="00D501F5"/>
    <w:rsid w:val="00D53119"/>
    <w:rsid w:val="00D548ED"/>
    <w:rsid w:val="00D61834"/>
    <w:rsid w:val="00D849A0"/>
    <w:rsid w:val="00DA2647"/>
    <w:rsid w:val="00DF55E5"/>
    <w:rsid w:val="00E2785A"/>
    <w:rsid w:val="00E51BF7"/>
    <w:rsid w:val="00E87F77"/>
    <w:rsid w:val="00EA2976"/>
    <w:rsid w:val="00EE73FA"/>
    <w:rsid w:val="00F22818"/>
    <w:rsid w:val="00F927C7"/>
    <w:rsid w:val="00F9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6744">
                  <w:marLeft w:val="0"/>
                  <w:marRight w:val="0"/>
                  <w:marTop w:val="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01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1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45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5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909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saguilar</cp:lastModifiedBy>
  <cp:revision>5</cp:revision>
  <cp:lastPrinted>2019-01-18T16:35:00Z</cp:lastPrinted>
  <dcterms:created xsi:type="dcterms:W3CDTF">2019-01-16T21:14:00Z</dcterms:created>
  <dcterms:modified xsi:type="dcterms:W3CDTF">2019-01-18T16:36:00Z</dcterms:modified>
</cp:coreProperties>
</file>