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4A7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81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DE4A73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DE4A73" w:rsidRPr="00DE4A73" w:rsidRDefault="004B1537" w:rsidP="00F60692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DE4A73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DE4A73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trece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del día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diecisiete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76141F"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9</w:t>
      </w:r>
      <w:r w:rsidR="00DE4A73"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0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 w:rsidR="00C6102A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                      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se identifica con su respectivo documento único de identidad DUI y solicita la siguiente información: </w:t>
      </w:r>
      <w:r w:rsidR="00DE4A73" w:rsidRPr="00DE4A73">
        <w:rPr>
          <w:rFonts w:ascii="Arial Narrow" w:hAnsi="Arial Narrow" w:cs="Helvetica"/>
          <w:b/>
          <w:i/>
          <w:color w:val="000000" w:themeColor="text1"/>
          <w:sz w:val="24"/>
          <w:szCs w:val="24"/>
          <w:shd w:val="clear" w:color="auto" w:fill="FFFFFF"/>
        </w:rPr>
        <w:t>LISTA DE PERSONAS NATURALES Y/O JURÍDICAS QUE TIENEN PERMISO Y/O AUTORIZACIÓN PARA: 1. LA RECEPCIÓN Y/O DISPOSICIÓN FINAL DE: A) AGUAS RESIDUALES, B) DESECHOS SÉPTICOS, C) DESECHOS DE SENTINAS, Y/O D) CUALQUIER OTRA CLASE DE DESECHOS POR PARTE DE TERCERAS PERSONAS 2. TRANSPORTE DE: A) AGUAS RESIDUALES, B) DESECHOS SÉPTICOS, C) DESECHOS DE SENTINAS, Y/O D) CUALQUIER OTRA CLASE DE DESECHOS</w:t>
      </w:r>
    </w:p>
    <w:p w:rsidR="004B1537" w:rsidRPr="00DE4A73" w:rsidRDefault="004B1537" w:rsidP="00F60692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DE4A73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de </w:t>
      </w:r>
      <w:r w:rsidR="00DE4A73">
        <w:rPr>
          <w:rFonts w:ascii="Arial Narrow" w:hAnsi="Arial Narrow"/>
          <w:color w:val="000000" w:themeColor="text1"/>
          <w:sz w:val="24"/>
          <w:szCs w:val="24"/>
        </w:rPr>
        <w:t>Saneamiento Ambiental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 la </w:t>
      </w:r>
      <w:r w:rsidR="00DE4A73">
        <w:rPr>
          <w:rFonts w:ascii="Arial Narrow" w:hAnsi="Arial Narrow"/>
          <w:color w:val="000000" w:themeColor="text1"/>
          <w:sz w:val="24"/>
          <w:szCs w:val="24"/>
        </w:rPr>
        <w:t>información,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por lo que esta oficina RESUELVE enviar vía correo electrónico al solicitante la siguiente información:</w:t>
      </w:r>
    </w:p>
    <w:p w:rsidR="00526250" w:rsidRDefault="00526250" w:rsidP="00526250">
      <w:pPr>
        <w:pStyle w:val="Textosinformato"/>
        <w:numPr>
          <w:ilvl w:val="0"/>
          <w:numId w:val="16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Desechos por parte de terceras personas (3 Págs.)</w:t>
      </w:r>
    </w:p>
    <w:p w:rsidR="00F60692" w:rsidRDefault="00F60692" w:rsidP="00F60692">
      <w:pPr>
        <w:pStyle w:val="Textosinformato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:rsidR="00526250" w:rsidRDefault="00526250" w:rsidP="00526250">
      <w:pPr>
        <w:pStyle w:val="Textosinformato"/>
        <w:numPr>
          <w:ilvl w:val="0"/>
          <w:numId w:val="16"/>
        </w:numPr>
        <w:jc w:val="both"/>
        <w:rPr>
          <w:rFonts w:ascii="Arial Narrow" w:hAnsi="Arial Narrow" w:cs="Times New Roman"/>
          <w:sz w:val="24"/>
          <w:szCs w:val="24"/>
        </w:rPr>
      </w:pPr>
      <w:r w:rsidRPr="00526250">
        <w:rPr>
          <w:rFonts w:ascii="Arial Narrow" w:hAnsi="Arial Narrow" w:cs="Times New Roman"/>
          <w:sz w:val="24"/>
          <w:szCs w:val="24"/>
        </w:rPr>
        <w:t xml:space="preserve">Lista Autorizados por MARN, para recepción, tratamiento y disposición final de materiales peligrosos. </w:t>
      </w:r>
    </w:p>
    <w:p w:rsidR="00526250" w:rsidRDefault="00526250" w:rsidP="00526250">
      <w:pPr>
        <w:pStyle w:val="Textosinformato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526250">
        <w:rPr>
          <w:rFonts w:ascii="Arial Narrow" w:hAnsi="Arial Narrow" w:cs="Times New Roman"/>
          <w:sz w:val="24"/>
          <w:szCs w:val="24"/>
        </w:rPr>
        <w:t>(1 Pág.)</w:t>
      </w:r>
    </w:p>
    <w:p w:rsidR="00F60692" w:rsidRDefault="00F60692" w:rsidP="00526250">
      <w:pPr>
        <w:pStyle w:val="Textosinformato"/>
        <w:ind w:left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Este listado también se encuentra colocado en nuestro sitio WEB, a continuación el enlace:</w:t>
      </w:r>
    </w:p>
    <w:p w:rsidR="00F60692" w:rsidRDefault="008C55A1" w:rsidP="00526250">
      <w:pPr>
        <w:pStyle w:val="Textosinformato"/>
        <w:ind w:left="720"/>
        <w:jc w:val="both"/>
        <w:rPr>
          <w:rFonts w:ascii="Arial Narrow" w:hAnsi="Arial Narrow" w:cs="Times New Roman"/>
          <w:sz w:val="24"/>
          <w:szCs w:val="24"/>
        </w:rPr>
      </w:pPr>
      <w:hyperlink r:id="rId8" w:history="1">
        <w:r w:rsidR="00F60692" w:rsidRPr="00785997">
          <w:rPr>
            <w:rStyle w:val="Hipervnculo"/>
            <w:rFonts w:ascii="Arial Narrow" w:hAnsi="Arial Narrow" w:cs="Times New Roman"/>
            <w:sz w:val="24"/>
            <w:szCs w:val="24"/>
          </w:rPr>
          <w:t>http://www.marn.gob.sv/index.php?option=com_content&amp;view=article&amp;id=147&amp;Itemid=240</w:t>
        </w:r>
      </w:hyperlink>
    </w:p>
    <w:p w:rsidR="00F60692" w:rsidRDefault="00F60692" w:rsidP="00526250">
      <w:pPr>
        <w:pStyle w:val="Textosinformato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:rsidR="00526250" w:rsidRPr="00526250" w:rsidRDefault="00526250" w:rsidP="0052625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i/>
          <w:color w:val="000000" w:themeColor="text1"/>
          <w:sz w:val="24"/>
          <w:szCs w:val="24"/>
          <w:lang w:eastAsia="en-US"/>
        </w:rPr>
      </w:pPr>
      <w:r w:rsidRPr="00526250">
        <w:rPr>
          <w:rFonts w:ascii="Arial Narrow" w:eastAsiaTheme="minorHAnsi" w:hAnsi="Arial Narrow"/>
          <w:color w:val="000000"/>
          <w:sz w:val="24"/>
          <w:szCs w:val="24"/>
          <w:lang w:eastAsia="en-US"/>
        </w:rPr>
        <w:t xml:space="preserve">Listado de autorizados por MARN para Transporte de Materiales Peligrosos (Residuos Peligrosos.  </w:t>
      </w:r>
    </w:p>
    <w:p w:rsidR="00A359A6" w:rsidRPr="00526250" w:rsidRDefault="00526250" w:rsidP="0052625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Style w:val="Textoennegrita"/>
          <w:rFonts w:ascii="Arial Narrow" w:eastAsiaTheme="minorHAnsi" w:hAnsi="Arial Narrow"/>
          <w:b w:val="0"/>
          <w:bCs w:val="0"/>
          <w:i/>
          <w:color w:val="000000" w:themeColor="text1"/>
          <w:sz w:val="24"/>
          <w:szCs w:val="24"/>
          <w:lang w:eastAsia="en-US"/>
        </w:rPr>
      </w:pPr>
      <w:r w:rsidRPr="00526250">
        <w:rPr>
          <w:rFonts w:ascii="Arial Narrow" w:eastAsiaTheme="minorHAnsi" w:hAnsi="Arial Narrow"/>
          <w:color w:val="000000"/>
          <w:sz w:val="24"/>
          <w:szCs w:val="24"/>
          <w:lang w:eastAsia="en-US"/>
        </w:rPr>
        <w:t>(10 Páginas)</w:t>
      </w:r>
      <w:r w:rsidRPr="00526250">
        <w:rPr>
          <w:rStyle w:val="Textoennegrita"/>
          <w:rFonts w:ascii="Arial Narrow" w:eastAsiaTheme="minorHAnsi" w:hAnsi="Arial Narrow"/>
          <w:b w:val="0"/>
          <w:bCs w:val="0"/>
          <w:i/>
          <w:color w:val="000000" w:themeColor="text1"/>
          <w:sz w:val="24"/>
          <w:szCs w:val="24"/>
          <w:lang w:eastAsia="en-US"/>
        </w:rPr>
        <w:t xml:space="preserve"> </w:t>
      </w:r>
    </w:p>
    <w:p w:rsidR="00AF1975" w:rsidRDefault="00AF1975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26250" w:rsidRDefault="00526250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26250" w:rsidRDefault="00526250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26250" w:rsidRDefault="00526250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F60692" w:rsidRDefault="00F60692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526250" w:rsidRPr="00E77159" w:rsidRDefault="00526250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9"/>
      <w:footerReference w:type="default" r:id="rId10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8A0" w:rsidRDefault="00F438A0" w:rsidP="00AD080B">
      <w:pPr>
        <w:spacing w:after="0" w:line="240" w:lineRule="auto"/>
      </w:pPr>
      <w:r>
        <w:separator/>
      </w:r>
    </w:p>
  </w:endnote>
  <w:endnote w:type="continuationSeparator" w:id="1">
    <w:p w:rsidR="00F438A0" w:rsidRDefault="00F438A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8A0" w:rsidRDefault="00F438A0" w:rsidP="00AD080B">
      <w:pPr>
        <w:spacing w:after="0" w:line="240" w:lineRule="auto"/>
      </w:pPr>
      <w:r>
        <w:separator/>
      </w:r>
    </w:p>
  </w:footnote>
  <w:footnote w:type="continuationSeparator" w:id="1">
    <w:p w:rsidR="00F438A0" w:rsidRDefault="00F438A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4"/>
  </w:num>
  <w:num w:numId="15">
    <w:abstractNumId w:val="6"/>
  </w:num>
  <w:num w:numId="1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736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55A1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102A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38A0"/>
    <w:rsid w:val="00F45BD5"/>
    <w:rsid w:val="00F50F98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dex.php?option=com_content&amp;view=article&amp;id=147&amp;Itemid=2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A8922-C762-471A-8AEF-EC0B40DD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2016-03-17T21:23:00Z</cp:lastPrinted>
  <dcterms:created xsi:type="dcterms:W3CDTF">2016-03-17T21:26:00Z</dcterms:created>
  <dcterms:modified xsi:type="dcterms:W3CDTF">2016-03-31T21:16:00Z</dcterms:modified>
</cp:coreProperties>
</file>