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E97A99" w:rsidRDefault="00E97A99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E7715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6D4D5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2A079F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E97A99" w:rsidRPr="00E77159" w:rsidRDefault="00E97A99" w:rsidP="002A079F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A53CC3" w:rsidRPr="00A53CC3" w:rsidRDefault="004B1537" w:rsidP="00A53CC3">
      <w:pPr>
        <w:spacing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E97A99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E97A99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E97A99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A53CC3">
        <w:rPr>
          <w:rFonts w:ascii="Arial Narrow" w:hAnsi="Arial Narrow"/>
          <w:color w:val="000000" w:themeColor="text1"/>
          <w:w w:val="102"/>
          <w:sz w:val="24"/>
          <w:szCs w:val="24"/>
        </w:rPr>
        <w:t>d</w:t>
      </w:r>
      <w:r w:rsidR="00A324C9">
        <w:rPr>
          <w:rFonts w:ascii="Arial Narrow" w:hAnsi="Arial Narrow"/>
          <w:color w:val="000000" w:themeColor="text1"/>
          <w:w w:val="102"/>
          <w:sz w:val="24"/>
          <w:szCs w:val="24"/>
        </w:rPr>
        <w:t>ieciseis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</w:t>
      </w:r>
      <w:r w:rsidR="00733A11"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con treinta</w:t>
      </w:r>
      <w:r w:rsidR="002C5FE2"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minutos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del día </w:t>
      </w:r>
      <w:r w:rsidR="00A80F64">
        <w:rPr>
          <w:rFonts w:ascii="Arial Narrow" w:hAnsi="Arial Narrow"/>
          <w:color w:val="000000" w:themeColor="text1"/>
          <w:w w:val="102"/>
          <w:sz w:val="24"/>
          <w:szCs w:val="24"/>
        </w:rPr>
        <w:t>lunes catorce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E97A99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A53CC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8</w:t>
      </w:r>
      <w:r w:rsidR="00733A11" w:rsidRPr="00E97A99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1</w:t>
      </w:r>
      <w:r w:rsidRPr="00E97A99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:</w:t>
      </w:r>
      <w:r w:rsidR="00D63249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E97A99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: </w:t>
      </w:r>
      <w:r w:rsidR="00733A11" w:rsidRPr="00A53CC3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>“</w:t>
      </w:r>
      <w:r w:rsidR="00A53CC3" w:rsidRPr="00A53CC3">
        <w:rPr>
          <w:rFonts w:ascii="Arial Narrow" w:hAnsi="Arial Narrow" w:cs="Helvetica"/>
          <w:b/>
          <w:i/>
          <w:color w:val="000000" w:themeColor="text1"/>
          <w:sz w:val="24"/>
          <w:szCs w:val="24"/>
          <w:shd w:val="clear" w:color="auto" w:fill="FFFFFF"/>
        </w:rPr>
        <w:t>1- Cantidad total de subscripciones a periódicos durante 2014 y 2015 detallado por periódico por año. 2- Monto total de subscripción anual a periódicos durante 2014 y 2015 detallado por periódico por año. 3- Monto total pagado por servicios de publicidad (campos pagados, esquelas, etc.) en periódicos durante 2014 y 2015 detallado por periódico por año</w:t>
      </w:r>
      <w:r w:rsidR="00A53CC3">
        <w:rPr>
          <w:rFonts w:ascii="Arial Narrow" w:hAnsi="Arial Narrow" w:cs="Helvetica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8D1AF1" w:rsidRPr="00E97A99" w:rsidRDefault="004B1537" w:rsidP="00A53CC3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E97A99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ey, y 19 del Reglamento, esta  oficina procedió a solicitar la información a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 xml:space="preserve"> la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Dirección General 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>A</w:t>
      </w:r>
      <w:r w:rsidR="00A53CC3">
        <w:rPr>
          <w:rFonts w:ascii="Arial Narrow" w:hAnsi="Arial Narrow"/>
          <w:color w:val="000000" w:themeColor="text1"/>
          <w:sz w:val="24"/>
          <w:szCs w:val="24"/>
        </w:rPr>
        <w:t>dministrativa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de esta Cartera de Estado, quienes nos enviaron en esta fecha </w:t>
      </w:r>
      <w:r w:rsidR="00067CB1" w:rsidRPr="00E97A99">
        <w:rPr>
          <w:rFonts w:ascii="Arial Narrow" w:hAnsi="Arial Narrow"/>
          <w:color w:val="000000" w:themeColor="text1"/>
          <w:sz w:val="24"/>
          <w:szCs w:val="24"/>
        </w:rPr>
        <w:t>la información por lo que esta oficina RESUELVE, enviarla al solicitante vía correo electrónico, según el siguiente detalle:</w:t>
      </w:r>
    </w:p>
    <w:p w:rsidR="00733A11" w:rsidRPr="00E97A99" w:rsidRDefault="00733A11" w:rsidP="00A53CC3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E97A99" w:rsidRPr="00A80F64" w:rsidRDefault="00A53CC3" w:rsidP="00A80F64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>
        <w:rPr>
          <w:rFonts w:ascii="Arial Narrow" w:hAnsi="Arial Narrow"/>
          <w:b/>
          <w:i/>
          <w:color w:val="000000" w:themeColor="text1"/>
          <w:sz w:val="24"/>
          <w:szCs w:val="24"/>
        </w:rPr>
        <w:t>Cuadro que contiene respuesta a sus 3 requerimientos</w:t>
      </w:r>
      <w:r w:rsidR="00A80F64">
        <w:rPr>
          <w:rFonts w:ascii="Arial Narrow" w:hAnsi="Arial Narrow"/>
          <w:b/>
          <w:i/>
          <w:color w:val="000000" w:themeColor="text1"/>
          <w:sz w:val="24"/>
          <w:szCs w:val="24"/>
        </w:rPr>
        <w:t>.</w:t>
      </w:r>
    </w:p>
    <w:p w:rsidR="00067CB1" w:rsidRPr="00E97A99" w:rsidRDefault="00067CB1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360049" w:rsidRPr="00E97A99" w:rsidRDefault="00A359A6" w:rsidP="00A53CC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4"/>
          <w:szCs w:val="24"/>
          <w:lang w:eastAsia="en-US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___________________________</w:t>
      </w:r>
    </w:p>
    <w:p w:rsidR="005770A0" w:rsidRPr="00E97A99" w:rsidRDefault="00007957" w:rsidP="00A53CC3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Lic. Marina Sandoval</w:t>
      </w:r>
    </w:p>
    <w:p w:rsidR="00F61E4D" w:rsidRPr="00E97A99" w:rsidRDefault="00FE17C7" w:rsidP="00A53CC3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4"/>
          <w:szCs w:val="24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Oficial de información, MARN</w:t>
      </w:r>
    </w:p>
    <w:sectPr w:rsidR="00F61E4D" w:rsidRPr="00E97A9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DFE" w:rsidRDefault="00EF6DFE" w:rsidP="00AD080B">
      <w:pPr>
        <w:spacing w:after="0" w:line="240" w:lineRule="auto"/>
      </w:pPr>
      <w:r>
        <w:separator/>
      </w:r>
    </w:p>
  </w:endnote>
  <w:endnote w:type="continuationSeparator" w:id="1">
    <w:p w:rsidR="00EF6DFE" w:rsidRDefault="00EF6DF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DFE" w:rsidRDefault="00EF6DFE" w:rsidP="00AD080B">
      <w:pPr>
        <w:spacing w:after="0" w:line="240" w:lineRule="auto"/>
      </w:pPr>
      <w:r>
        <w:separator/>
      </w:r>
    </w:p>
  </w:footnote>
  <w:footnote w:type="continuationSeparator" w:id="1">
    <w:p w:rsidR="00EF6DFE" w:rsidRDefault="00EF6DF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9F7"/>
    <w:multiLevelType w:val="hybridMultilevel"/>
    <w:tmpl w:val="84DA2A3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63FCD"/>
    <w:multiLevelType w:val="hybridMultilevel"/>
    <w:tmpl w:val="D0ACEA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1339"/>
    <w:multiLevelType w:val="hybridMultilevel"/>
    <w:tmpl w:val="23CA7E42"/>
    <w:lvl w:ilvl="0" w:tplc="C04252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468C5"/>
    <w:multiLevelType w:val="hybridMultilevel"/>
    <w:tmpl w:val="1E18D82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20B3A"/>
    <w:multiLevelType w:val="hybridMultilevel"/>
    <w:tmpl w:val="AE1A8DA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67E054D9"/>
    <w:multiLevelType w:val="hybridMultilevel"/>
    <w:tmpl w:val="BCC0BF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0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3"/>
  </w:num>
  <w:num w:numId="20">
    <w:abstractNumId w:val="11"/>
  </w:num>
  <w:num w:numId="2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CB1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079F"/>
    <w:rsid w:val="002A0C46"/>
    <w:rsid w:val="002A39B0"/>
    <w:rsid w:val="002C0B5C"/>
    <w:rsid w:val="002C5FE2"/>
    <w:rsid w:val="002D1B96"/>
    <w:rsid w:val="002D3784"/>
    <w:rsid w:val="002D621E"/>
    <w:rsid w:val="002E2B0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07F4C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5527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A661B"/>
    <w:rsid w:val="005B193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56F5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1D09"/>
    <w:rsid w:val="006B292A"/>
    <w:rsid w:val="006B2B6E"/>
    <w:rsid w:val="006B698B"/>
    <w:rsid w:val="006D06EF"/>
    <w:rsid w:val="006D4D53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11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1AF1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777F8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171BB"/>
    <w:rsid w:val="00A25B75"/>
    <w:rsid w:val="00A30A00"/>
    <w:rsid w:val="00A324C9"/>
    <w:rsid w:val="00A32546"/>
    <w:rsid w:val="00A3343D"/>
    <w:rsid w:val="00A35032"/>
    <w:rsid w:val="00A357A3"/>
    <w:rsid w:val="00A359A6"/>
    <w:rsid w:val="00A42222"/>
    <w:rsid w:val="00A44A89"/>
    <w:rsid w:val="00A459D3"/>
    <w:rsid w:val="00A53CC3"/>
    <w:rsid w:val="00A61152"/>
    <w:rsid w:val="00A63E08"/>
    <w:rsid w:val="00A656C8"/>
    <w:rsid w:val="00A6576C"/>
    <w:rsid w:val="00A6601D"/>
    <w:rsid w:val="00A6799B"/>
    <w:rsid w:val="00A67EB0"/>
    <w:rsid w:val="00A72E59"/>
    <w:rsid w:val="00A73B25"/>
    <w:rsid w:val="00A754BF"/>
    <w:rsid w:val="00A80F64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26E4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7711D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79C"/>
    <w:rsid w:val="00D44E6A"/>
    <w:rsid w:val="00D602C9"/>
    <w:rsid w:val="00D6324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4B9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97A99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EF6DFE"/>
    <w:rsid w:val="00EF73A1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86593-9FE4-4F73-A2DE-6C2F3BF8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2016-03-15T14:37:00Z</cp:lastPrinted>
  <dcterms:created xsi:type="dcterms:W3CDTF">2016-03-15T14:41:00Z</dcterms:created>
  <dcterms:modified xsi:type="dcterms:W3CDTF">2016-03-31T21:15:00Z</dcterms:modified>
</cp:coreProperties>
</file>