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F75691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DE ENTREGA DE INFORMACION </w:t>
      </w:r>
    </w:p>
    <w:p w:rsidR="004B3CF1" w:rsidRPr="008F5AAB" w:rsidRDefault="004B3CF1" w:rsidP="005E7B0C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pacing w:val="-1"/>
          <w:sz w:val="16"/>
          <w:szCs w:val="16"/>
        </w:rPr>
      </w:pPr>
    </w:p>
    <w:p w:rsidR="005E7B0C" w:rsidRPr="00322038" w:rsidRDefault="00AD080B" w:rsidP="00322038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AD319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AD319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D555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BA21BE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CD555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0E029F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viernes</w:t>
      </w:r>
      <w:r w:rsidR="005F2F9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veinte</w:t>
      </w:r>
      <w:r w:rsidR="000E029F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y dos</w:t>
      </w:r>
      <w:r w:rsidR="001C05F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</w:t>
      </w:r>
      <w:r w:rsidR="0012572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enero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</w:t>
      </w:r>
      <w:r w:rsidR="0052498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E82D5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5</w:t>
      </w:r>
      <w:r w:rsidR="00C4753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716B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</w:t>
      </w:r>
      <w:r w:rsidR="00322038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936</w:t>
      </w:r>
      <w:r w:rsidR="00B407A2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48CD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                                   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AD3190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AD3190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AD319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322038" w:rsidRPr="0032203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SOY LA ENCARGADA DE LA UNIDAD AMBIENTAL DE LA ALCALDÍA DE NEJAPA Y SOLICITO LA SIGUIENTE INFORMACIÓN: 1. El estudio de impacto ambiental, el permiso y todas sus modificaciones o ampliaciones dadas a Industrias La Constancia por la Planta Nixapa, ya que la alcaldía no lo tiene y no puede monitorear su cumplimiento. 2. El estudio de impacto ambiental de la Urbanización San Gabriel hecha por Salazar Romero, solo tengo el permiso ambiental.</w:t>
      </w:r>
    </w:p>
    <w:p w:rsidR="001E327C" w:rsidRPr="00AD3190" w:rsidRDefault="00630042" w:rsidP="0032203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ey, y 19 del Reglamento. Por lo que esta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5E7B0C" w:rsidRPr="00AD3190">
        <w:rPr>
          <w:rFonts w:ascii="Times New Roman" w:hAnsi="Times New Roman"/>
          <w:color w:val="000000" w:themeColor="text1"/>
          <w:sz w:val="24"/>
          <w:szCs w:val="24"/>
        </w:rPr>
        <w:t>Dirección General de E</w:t>
      </w:r>
      <w:r w:rsidR="00322038">
        <w:rPr>
          <w:rFonts w:ascii="Times New Roman" w:hAnsi="Times New Roman"/>
          <w:color w:val="000000" w:themeColor="text1"/>
          <w:sz w:val="24"/>
          <w:szCs w:val="24"/>
        </w:rPr>
        <w:t xml:space="preserve">valuación y Cumplimiento </w:t>
      </w:r>
      <w:r w:rsidR="003A1C02" w:rsidRPr="00AD31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en esta fecha </w:t>
      </w:r>
      <w:r w:rsidR="002E6827" w:rsidRPr="00AD3190">
        <w:rPr>
          <w:rFonts w:ascii="Times New Roman" w:hAnsi="Times New Roman"/>
          <w:color w:val="000000" w:themeColor="text1"/>
          <w:sz w:val="24"/>
          <w:szCs w:val="24"/>
        </w:rPr>
        <w:t>su respuesta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y esta ofici</w:t>
      </w:r>
      <w:r w:rsidR="00205CA5" w:rsidRPr="00AD3190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resuelve entregar la información pública, según el </w:t>
      </w:r>
      <w:r w:rsidR="004B3CF1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siguiente 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>detalle:</w:t>
      </w:r>
    </w:p>
    <w:p w:rsidR="000E029F" w:rsidRDefault="00322038" w:rsidP="00C33FC8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Estudio de Impacto Ambiental Urbanización San Gabriel (193 Págs.)</w:t>
      </w:r>
    </w:p>
    <w:p w:rsidR="00322038" w:rsidRDefault="00322038" w:rsidP="00C33FC8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RESOLUCION MARN-17822-256-</w:t>
      </w:r>
      <w:r w:rsidR="00C33FC8">
        <w:rPr>
          <w:rFonts w:ascii="Times New Roman" w:hAnsi="Times New Roman"/>
          <w:i/>
          <w:color w:val="000000" w:themeColor="text1"/>
          <w:sz w:val="24"/>
          <w:szCs w:val="24"/>
        </w:rPr>
        <w:t>2012,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Industrias La Constancia, proyecto “Movimiento de la Línea de Producción </w:t>
      </w:r>
      <w:r w:rsidR="00C33FC8">
        <w:rPr>
          <w:rFonts w:ascii="Times New Roman" w:hAnsi="Times New Roman"/>
          <w:i/>
          <w:color w:val="000000" w:themeColor="text1"/>
          <w:sz w:val="24"/>
          <w:szCs w:val="24"/>
        </w:rPr>
        <w:t>Tetra PAC de Planta de Agua y Jugos, Montaje y Puesta en marcha en la planta NIXAPA, NEJAPA. (3 Págs.)</w:t>
      </w:r>
    </w:p>
    <w:p w:rsidR="00C33FC8" w:rsidRDefault="00C33FC8" w:rsidP="00C33FC8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Resolución MARN-N°6300-865-2006, Salazar Romero, S.A. de C.V., Urbanización San Gabriel (3 Págs.)</w:t>
      </w:r>
    </w:p>
    <w:p w:rsidR="00C33FC8" w:rsidRDefault="00C33FC8" w:rsidP="00C33FC8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Resolución MARN- N° 065-2001 “PLANTA NIXAPA”, Sociedad Embotelladora Salvadoreña, S.A. (3 Págs.)</w:t>
      </w:r>
    </w:p>
    <w:p w:rsidR="00C33FC8" w:rsidRDefault="00C33FC8" w:rsidP="00C33FC8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Resolución MARN-N° 16112-823-2011 </w:t>
      </w:r>
      <w:r w:rsidR="003F26D3">
        <w:rPr>
          <w:rFonts w:ascii="Times New Roman" w:hAnsi="Times New Roman"/>
          <w:i/>
          <w:color w:val="000000" w:themeColor="text1"/>
          <w:sz w:val="24"/>
          <w:szCs w:val="24"/>
        </w:rPr>
        <w:t>Industrias La Constancia, S.A. de C.V., proyecto “Ampliación de Bodega, para producto terminado (Jugo y Gaseosa) en la Planta NIXAPA, NEJAPA. (10 Págs.)</w:t>
      </w:r>
    </w:p>
    <w:p w:rsidR="00322038" w:rsidRDefault="0032203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22038" w:rsidRDefault="0032203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22038" w:rsidRPr="008F5AAB" w:rsidRDefault="0032203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90276" w:rsidRPr="008F5AAB" w:rsidRDefault="00290276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95E" w:rsidRDefault="0058495E" w:rsidP="00AD080B">
      <w:pPr>
        <w:spacing w:after="0" w:line="240" w:lineRule="auto"/>
      </w:pPr>
      <w:r>
        <w:separator/>
      </w:r>
    </w:p>
  </w:endnote>
  <w:endnote w:type="continuationSeparator" w:id="1">
    <w:p w:rsidR="0058495E" w:rsidRDefault="0058495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95E" w:rsidRDefault="0058495E" w:rsidP="00AD080B">
      <w:pPr>
        <w:spacing w:after="0" w:line="240" w:lineRule="auto"/>
      </w:pPr>
      <w:r>
        <w:separator/>
      </w:r>
    </w:p>
  </w:footnote>
  <w:footnote w:type="continuationSeparator" w:id="1">
    <w:p w:rsidR="0058495E" w:rsidRDefault="0058495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15"/>
  </w:num>
  <w:num w:numId="4">
    <w:abstractNumId w:val="13"/>
  </w:num>
  <w:num w:numId="5">
    <w:abstractNumId w:val="30"/>
  </w:num>
  <w:num w:numId="6">
    <w:abstractNumId w:val="21"/>
  </w:num>
  <w:num w:numId="7">
    <w:abstractNumId w:val="19"/>
  </w:num>
  <w:num w:numId="8">
    <w:abstractNumId w:val="1"/>
  </w:num>
  <w:num w:numId="9">
    <w:abstractNumId w:val="34"/>
  </w:num>
  <w:num w:numId="10">
    <w:abstractNumId w:val="10"/>
  </w:num>
  <w:num w:numId="11">
    <w:abstractNumId w:val="29"/>
  </w:num>
  <w:num w:numId="12">
    <w:abstractNumId w:val="31"/>
  </w:num>
  <w:num w:numId="13">
    <w:abstractNumId w:val="35"/>
  </w:num>
  <w:num w:numId="14">
    <w:abstractNumId w:val="0"/>
  </w:num>
  <w:num w:numId="15">
    <w:abstractNumId w:val="16"/>
  </w:num>
  <w:num w:numId="16">
    <w:abstractNumId w:val="20"/>
  </w:num>
  <w:num w:numId="17">
    <w:abstractNumId w:val="28"/>
  </w:num>
  <w:num w:numId="18">
    <w:abstractNumId w:val="23"/>
  </w:num>
  <w:num w:numId="19">
    <w:abstractNumId w:val="18"/>
  </w:num>
  <w:num w:numId="20">
    <w:abstractNumId w:val="3"/>
  </w:num>
  <w:num w:numId="21">
    <w:abstractNumId w:val="8"/>
  </w:num>
  <w:num w:numId="22">
    <w:abstractNumId w:val="4"/>
  </w:num>
  <w:num w:numId="23">
    <w:abstractNumId w:val="12"/>
  </w:num>
  <w:num w:numId="24">
    <w:abstractNumId w:val="5"/>
  </w:num>
  <w:num w:numId="25">
    <w:abstractNumId w:val="2"/>
  </w:num>
  <w:num w:numId="26">
    <w:abstractNumId w:val="2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6"/>
  </w:num>
  <w:num w:numId="31">
    <w:abstractNumId w:val="14"/>
  </w:num>
  <w:num w:numId="32">
    <w:abstractNumId w:val="27"/>
  </w:num>
  <w:num w:numId="33">
    <w:abstractNumId w:val="33"/>
  </w:num>
  <w:num w:numId="34">
    <w:abstractNumId w:val="17"/>
  </w:num>
  <w:num w:numId="35">
    <w:abstractNumId w:val="22"/>
  </w:num>
  <w:num w:numId="36">
    <w:abstractNumId w:val="7"/>
  </w:num>
  <w:num w:numId="37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9101F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1469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495E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48C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0C02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2A1C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2D59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1F84-F153-4318-8B41-6DC942D2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2016-01-26T23:10:00Z</cp:lastPrinted>
  <dcterms:created xsi:type="dcterms:W3CDTF">2016-01-26T23:11:00Z</dcterms:created>
  <dcterms:modified xsi:type="dcterms:W3CDTF">2016-03-31T20:57:00Z</dcterms:modified>
</cp:coreProperties>
</file>