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1C" w:rsidRDefault="001C6E1C" w:rsidP="0051378E">
      <w:pPr>
        <w:tabs>
          <w:tab w:val="left" w:pos="5115"/>
        </w:tabs>
        <w:spacing w:after="0" w:line="240" w:lineRule="auto"/>
        <w:jc w:val="center"/>
        <w:rPr>
          <w:rFonts w:ascii="Bembo Std" w:eastAsia="Arial Unicode MS" w:hAnsi="Bembo Std" w:cstheme="minorHAnsi"/>
          <w:b/>
          <w:color w:val="000066"/>
          <w:sz w:val="24"/>
        </w:rPr>
      </w:pPr>
    </w:p>
    <w:p w:rsidR="00783E12" w:rsidRDefault="00783E12" w:rsidP="00783E12">
      <w:pPr>
        <w:pStyle w:val="Ttulo1"/>
        <w:spacing w:before="0" w:line="240" w:lineRule="auto"/>
        <w:jc w:val="both"/>
        <w:rPr>
          <w:rFonts w:ascii="Bembo Std" w:eastAsia="Arial Unicode MS" w:hAnsi="Bembo Std" w:cstheme="minorHAnsi"/>
          <w:b w:val="0"/>
          <w:color w:val="000066"/>
          <w:sz w:val="24"/>
        </w:rPr>
      </w:pPr>
      <w:r w:rsidRPr="00783E12">
        <w:rPr>
          <w:rFonts w:asciiTheme="minorHAnsi" w:eastAsia="Arial Unicode MS" w:hAnsiTheme="minorHAnsi"/>
          <w:b w:val="0"/>
          <w:color w:val="C00000"/>
          <w:sz w:val="16"/>
        </w:rPr>
        <w:t xml:space="preserve">Versión pública de acuerdo a lo dispuesto en el Art. 30 de la LAIP, se elimina  </w:t>
      </w:r>
      <w:r w:rsidRPr="00783E12">
        <w:rPr>
          <w:rFonts w:asciiTheme="minorHAnsi" w:eastAsia="Arial Unicode MS" w:hAnsiTheme="minorHAnsi"/>
          <w:b w:val="0"/>
          <w:color w:val="C00000"/>
          <w:sz w:val="16"/>
          <w:u w:val="single"/>
        </w:rPr>
        <w:t xml:space="preserve">el nombre, DUI </w:t>
      </w:r>
      <w:r w:rsidRPr="00783E12">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783E12">
        <w:rPr>
          <w:rFonts w:asciiTheme="minorHAnsi" w:eastAsia="Arial Unicode MS" w:hAnsiTheme="minorHAnsi"/>
          <w:b w:val="0"/>
          <w:color w:val="C00000"/>
          <w:sz w:val="16"/>
          <w:u w:val="single"/>
        </w:rPr>
        <w:t xml:space="preserve">página 1 </w:t>
      </w:r>
      <w:r w:rsidRPr="00783E12">
        <w:rPr>
          <w:rFonts w:asciiTheme="minorHAnsi" w:eastAsia="Arial Unicode MS" w:hAnsiTheme="minorHAnsi"/>
          <w:b w:val="0"/>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4643BD">
        <w:rPr>
          <w:rFonts w:ascii="Bembo Std" w:eastAsia="Arial Unicode MS" w:hAnsi="Bembo Std" w:cstheme="minorHAnsi"/>
          <w:b/>
          <w:color w:val="000066"/>
          <w:sz w:val="24"/>
          <w:u w:val="single"/>
        </w:rPr>
        <w:t>18</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Pr="00A329EC" w:rsidRDefault="0051378E" w:rsidP="0051378E">
      <w:pPr>
        <w:spacing w:after="0" w:line="240" w:lineRule="auto"/>
        <w:jc w:val="both"/>
        <w:rPr>
          <w:rFonts w:ascii="Bembo Std" w:eastAsia="Arial Unicode MS" w:hAnsi="Bembo Std" w:cs="Arial Unicode MS"/>
          <w:sz w:val="20"/>
          <w:szCs w:val="20"/>
          <w:lang w:eastAsia="es-SV"/>
        </w:rPr>
      </w:pPr>
      <w:bookmarkStart w:id="0" w:name="_GoBack"/>
      <w:bookmarkEnd w:id="0"/>
      <w:r w:rsidRPr="00A329EC">
        <w:rPr>
          <w:rFonts w:ascii="Bembo Std" w:eastAsia="Arial Unicode MS" w:hAnsi="Bembo Std" w:cs="Arial Unicode MS"/>
          <w:sz w:val="20"/>
          <w:szCs w:val="20"/>
          <w:lang w:eastAsia="es-SV"/>
        </w:rPr>
        <w:t xml:space="preserve">Santa Tecla, departamento de La Libertad, a </w:t>
      </w:r>
      <w:r w:rsidRPr="00A329EC">
        <w:rPr>
          <w:rFonts w:ascii="Bembo Std" w:eastAsia="Arial Unicode MS" w:hAnsi="Bembo Std" w:cs="Arial Unicode MS"/>
          <w:color w:val="000066"/>
          <w:sz w:val="20"/>
          <w:szCs w:val="20"/>
          <w:lang w:eastAsia="es-SV"/>
        </w:rPr>
        <w:t xml:space="preserve">las </w:t>
      </w:r>
      <w:r w:rsidR="004643BD" w:rsidRPr="00A329EC">
        <w:rPr>
          <w:rFonts w:ascii="Bembo Std" w:eastAsia="Arial Unicode MS" w:hAnsi="Bembo Std" w:cs="Arial Unicode MS"/>
          <w:color w:val="000066"/>
          <w:sz w:val="20"/>
          <w:szCs w:val="20"/>
          <w:lang w:eastAsia="es-SV"/>
        </w:rPr>
        <w:t>veintitrés horas con diecisiete m</w:t>
      </w:r>
      <w:r w:rsidR="00111163" w:rsidRPr="00A329EC">
        <w:rPr>
          <w:rFonts w:ascii="Bembo Std" w:eastAsia="Arial Unicode MS" w:hAnsi="Bembo Std" w:cs="Arial Unicode MS"/>
          <w:color w:val="000066"/>
          <w:sz w:val="20"/>
          <w:szCs w:val="20"/>
          <w:lang w:eastAsia="es-SV"/>
        </w:rPr>
        <w:t>inutos</w:t>
      </w:r>
      <w:r w:rsidRPr="00A329EC">
        <w:rPr>
          <w:rFonts w:ascii="Bembo Std" w:eastAsia="Arial Unicode MS" w:hAnsi="Bembo Std" w:cs="Arial Unicode MS"/>
          <w:color w:val="000066"/>
          <w:sz w:val="20"/>
          <w:szCs w:val="20"/>
          <w:lang w:eastAsia="es-SV"/>
        </w:rPr>
        <w:t xml:space="preserve"> del día </w:t>
      </w:r>
      <w:r w:rsidR="004643BD" w:rsidRPr="00A329EC">
        <w:rPr>
          <w:rFonts w:ascii="Bembo Std" w:eastAsia="Arial Unicode MS" w:hAnsi="Bembo Std" w:cs="Arial Unicode MS"/>
          <w:color w:val="000066"/>
          <w:sz w:val="20"/>
          <w:szCs w:val="20"/>
          <w:lang w:eastAsia="es-SV"/>
        </w:rPr>
        <w:t>veintiuno</w:t>
      </w:r>
      <w:r w:rsidR="00205DDE" w:rsidRPr="00A329EC">
        <w:rPr>
          <w:rFonts w:ascii="Bembo Std" w:eastAsia="Arial Unicode MS" w:hAnsi="Bembo Std" w:cs="Arial Unicode MS"/>
          <w:color w:val="000066"/>
          <w:sz w:val="20"/>
          <w:szCs w:val="20"/>
          <w:lang w:eastAsia="es-SV"/>
        </w:rPr>
        <w:t xml:space="preserve"> </w:t>
      </w:r>
      <w:r w:rsidR="00111163" w:rsidRPr="00A329EC">
        <w:rPr>
          <w:rFonts w:ascii="Bembo Std" w:eastAsia="Arial Unicode MS" w:hAnsi="Bembo Std" w:cs="Arial Unicode MS"/>
          <w:color w:val="000066"/>
          <w:sz w:val="20"/>
          <w:szCs w:val="20"/>
          <w:lang w:eastAsia="es-SV"/>
        </w:rPr>
        <w:t xml:space="preserve">de </w:t>
      </w:r>
      <w:r w:rsidR="0094356A" w:rsidRPr="00A329EC">
        <w:rPr>
          <w:rFonts w:ascii="Bembo Std" w:eastAsia="Arial Unicode MS" w:hAnsi="Bembo Std" w:cs="Arial Unicode MS"/>
          <w:color w:val="000066"/>
          <w:sz w:val="20"/>
          <w:szCs w:val="20"/>
          <w:lang w:eastAsia="es-SV"/>
        </w:rPr>
        <w:t>n</w:t>
      </w:r>
      <w:r w:rsidR="00205DDE" w:rsidRPr="00A329EC">
        <w:rPr>
          <w:rFonts w:ascii="Bembo Std" w:eastAsia="Arial Unicode MS" w:hAnsi="Bembo Std" w:cs="Arial Unicode MS"/>
          <w:color w:val="000066"/>
          <w:sz w:val="20"/>
          <w:szCs w:val="20"/>
          <w:lang w:eastAsia="es-SV"/>
        </w:rPr>
        <w:t>o</w:t>
      </w:r>
      <w:r w:rsidR="0094356A" w:rsidRPr="00A329EC">
        <w:rPr>
          <w:rFonts w:ascii="Bembo Std" w:eastAsia="Arial Unicode MS" w:hAnsi="Bembo Std" w:cs="Arial Unicode MS"/>
          <w:color w:val="000066"/>
          <w:sz w:val="20"/>
          <w:szCs w:val="20"/>
          <w:lang w:eastAsia="es-SV"/>
        </w:rPr>
        <w:t xml:space="preserve">viembre </w:t>
      </w:r>
      <w:r w:rsidRPr="00A329EC">
        <w:rPr>
          <w:rFonts w:ascii="Bembo Std" w:eastAsia="Arial Unicode MS" w:hAnsi="Bembo Std" w:cs="Arial Unicode MS"/>
          <w:color w:val="000066"/>
          <w:sz w:val="20"/>
          <w:szCs w:val="20"/>
          <w:lang w:eastAsia="es-SV"/>
        </w:rPr>
        <w:t>de dos mil diecinueve</w:t>
      </w:r>
      <w:r w:rsidRPr="00A329EC">
        <w:rPr>
          <w:rFonts w:ascii="Bembo Std" w:eastAsia="Arial Unicode MS" w:hAnsi="Bembo Std" w:cs="Arial Unicode MS"/>
          <w:color w:val="000099"/>
          <w:sz w:val="20"/>
          <w:szCs w:val="20"/>
          <w:lang w:eastAsia="es-SV"/>
        </w:rPr>
        <w:t>,</w:t>
      </w:r>
      <w:r w:rsidRPr="00A329EC">
        <w:rPr>
          <w:rFonts w:ascii="Bembo Std" w:eastAsia="Arial Unicode MS" w:hAnsi="Bembo Std" w:cs="Arial Unicode MS"/>
          <w:sz w:val="20"/>
          <w:szCs w:val="20"/>
          <w:lang w:eastAsia="es-SV"/>
        </w:rPr>
        <w:t xml:space="preserve"> luego de haber recibido y admitido la solicitud de información </w:t>
      </w:r>
      <w:r w:rsidRPr="00A329EC">
        <w:rPr>
          <w:rFonts w:ascii="Bembo Std" w:eastAsia="Arial Unicode MS" w:hAnsi="Bembo Std" w:cs="Arial Unicode MS"/>
          <w:b/>
          <w:color w:val="000066"/>
          <w:sz w:val="20"/>
          <w:szCs w:val="20"/>
          <w:lang w:eastAsia="es-SV"/>
        </w:rPr>
        <w:t xml:space="preserve">MAG OIR No. </w:t>
      </w:r>
      <w:r w:rsidR="0094356A" w:rsidRPr="00A329EC">
        <w:rPr>
          <w:rFonts w:ascii="Bembo Std" w:eastAsia="Arial Unicode MS" w:hAnsi="Bembo Std" w:cs="Arial Unicode MS"/>
          <w:b/>
          <w:color w:val="000066"/>
          <w:sz w:val="20"/>
          <w:szCs w:val="20"/>
          <w:lang w:eastAsia="es-SV"/>
        </w:rPr>
        <w:t>2</w:t>
      </w:r>
      <w:r w:rsidR="004643BD" w:rsidRPr="00A329EC">
        <w:rPr>
          <w:rFonts w:ascii="Bembo Std" w:eastAsia="Arial Unicode MS" w:hAnsi="Bembo Std" w:cs="Arial Unicode MS"/>
          <w:b/>
          <w:color w:val="000066"/>
          <w:sz w:val="20"/>
          <w:szCs w:val="20"/>
          <w:lang w:eastAsia="es-SV"/>
        </w:rPr>
        <w:t>18</w:t>
      </w:r>
      <w:r w:rsidRPr="00A329EC">
        <w:rPr>
          <w:rFonts w:ascii="Bembo Std" w:eastAsia="Arial Unicode MS" w:hAnsi="Bembo Std" w:cs="Arial Unicode MS"/>
          <w:b/>
          <w:color w:val="000066"/>
          <w:sz w:val="20"/>
          <w:szCs w:val="20"/>
          <w:lang w:eastAsia="es-SV"/>
        </w:rPr>
        <w:t>-2019</w:t>
      </w:r>
      <w:r w:rsidRPr="00A329EC">
        <w:rPr>
          <w:rFonts w:ascii="Bembo Std" w:eastAsia="Arial Unicode MS" w:hAnsi="Bembo Std" w:cs="Arial Unicode MS"/>
          <w:color w:val="000099"/>
          <w:sz w:val="20"/>
          <w:szCs w:val="20"/>
          <w:lang w:eastAsia="es-SV"/>
        </w:rPr>
        <w:t xml:space="preserve"> </w:t>
      </w:r>
      <w:r w:rsidRPr="00A329EC">
        <w:rPr>
          <w:rFonts w:ascii="Bembo Std" w:eastAsia="Arial Unicode MS" w:hAnsi="Bembo Std" w:cs="Arial Unicode MS"/>
          <w:sz w:val="20"/>
          <w:szCs w:val="20"/>
          <w:lang w:eastAsia="es-SV"/>
        </w:rPr>
        <w:t>presentada ante la Oficina de Información y Respuesta de esta dependencia,</w:t>
      </w:r>
      <w:r w:rsidRPr="00A329EC">
        <w:rPr>
          <w:rFonts w:ascii="Bembo Std" w:eastAsia="Arial Unicode MS" w:hAnsi="Bembo Std" w:cstheme="minorHAnsi"/>
          <w:sz w:val="20"/>
          <w:szCs w:val="20"/>
          <w:lang w:eastAsia="es-SV"/>
        </w:rPr>
        <w:t xml:space="preserve"> por parte de</w:t>
      </w:r>
      <w:r w:rsidR="00517DD7" w:rsidRPr="00A329EC">
        <w:rPr>
          <w:rFonts w:ascii="Bembo Std" w:eastAsia="Arial Unicode MS" w:hAnsi="Bembo Std" w:cstheme="minorHAnsi"/>
          <w:sz w:val="20"/>
          <w:szCs w:val="20"/>
          <w:lang w:eastAsia="es-SV"/>
        </w:rPr>
        <w:t xml:space="preserve"> </w:t>
      </w:r>
      <w:proofErr w:type="spellStart"/>
      <w:r w:rsidR="00A72AD5">
        <w:rPr>
          <w:rFonts w:ascii="Bembo Std" w:eastAsia="Arial Unicode MS" w:hAnsi="Bembo Std" w:cstheme="minorHAnsi"/>
          <w:b/>
          <w:color w:val="000066"/>
          <w:sz w:val="20"/>
          <w:szCs w:val="20"/>
          <w:lang w:eastAsia="es-SV"/>
        </w:rPr>
        <w:t>xxxx</w:t>
      </w:r>
      <w:proofErr w:type="spellEnd"/>
      <w:r w:rsidRPr="00A329EC">
        <w:rPr>
          <w:rFonts w:ascii="Bembo Std" w:eastAsia="Arial Unicode MS" w:hAnsi="Bembo Std" w:cstheme="minorHAnsi"/>
          <w:sz w:val="20"/>
          <w:szCs w:val="20"/>
          <w:lang w:eastAsia="es-SV"/>
        </w:rPr>
        <w:t xml:space="preserve">, de hoy en adelante </w:t>
      </w:r>
      <w:r w:rsidR="009E0DD0" w:rsidRPr="00A329EC">
        <w:rPr>
          <w:rFonts w:ascii="Bembo Std" w:eastAsia="Arial Unicode MS" w:hAnsi="Bembo Std" w:cstheme="minorHAnsi"/>
          <w:sz w:val="20"/>
          <w:szCs w:val="20"/>
          <w:lang w:eastAsia="es-SV"/>
        </w:rPr>
        <w:t>l</w:t>
      </w:r>
      <w:r w:rsidR="0094356A" w:rsidRPr="00A329EC">
        <w:rPr>
          <w:rFonts w:ascii="Bembo Std" w:eastAsia="Arial Unicode MS" w:hAnsi="Bembo Std" w:cstheme="minorHAnsi"/>
          <w:sz w:val="20"/>
          <w:szCs w:val="20"/>
          <w:lang w:eastAsia="es-SV"/>
        </w:rPr>
        <w:t>a</w:t>
      </w:r>
      <w:r w:rsidR="00876728" w:rsidRPr="00A329EC">
        <w:rPr>
          <w:rFonts w:ascii="Bembo Std" w:eastAsia="Arial Unicode MS" w:hAnsi="Bembo Std" w:cstheme="minorHAnsi"/>
          <w:sz w:val="20"/>
          <w:szCs w:val="20"/>
          <w:lang w:eastAsia="es-SV"/>
        </w:rPr>
        <w:t xml:space="preserve"> </w:t>
      </w:r>
      <w:r w:rsidRPr="00A329EC">
        <w:rPr>
          <w:rFonts w:ascii="Bembo Std" w:eastAsia="Arial Unicode MS" w:hAnsi="Bembo Std" w:cstheme="minorHAnsi"/>
          <w:sz w:val="20"/>
          <w:szCs w:val="20"/>
          <w:lang w:eastAsia="es-SV"/>
        </w:rPr>
        <w:t>PETICIONARI</w:t>
      </w:r>
      <w:r w:rsidR="0094356A" w:rsidRPr="00A329EC">
        <w:rPr>
          <w:rFonts w:ascii="Bembo Std" w:eastAsia="Arial Unicode MS" w:hAnsi="Bembo Std" w:cstheme="minorHAnsi"/>
          <w:sz w:val="20"/>
          <w:szCs w:val="20"/>
          <w:lang w:eastAsia="es-SV"/>
        </w:rPr>
        <w:t>A</w:t>
      </w:r>
      <w:r w:rsidR="009E0DD0" w:rsidRPr="00A329EC">
        <w:rPr>
          <w:rFonts w:ascii="Bembo Std" w:eastAsia="Arial Unicode MS" w:hAnsi="Bembo Std" w:cstheme="minorHAnsi"/>
          <w:sz w:val="20"/>
          <w:szCs w:val="20"/>
          <w:lang w:eastAsia="es-SV"/>
        </w:rPr>
        <w:t>,</w:t>
      </w:r>
      <w:r w:rsidRPr="00A329EC">
        <w:rPr>
          <w:rFonts w:ascii="Bembo Std" w:eastAsia="Arial Unicode MS" w:hAnsi="Bembo Std" w:cstheme="minorHAnsi"/>
          <w:sz w:val="20"/>
          <w:szCs w:val="20"/>
          <w:lang w:eastAsia="es-SV"/>
        </w:rPr>
        <w:t xml:space="preserve"> identificad</w:t>
      </w:r>
      <w:r w:rsidR="0094356A" w:rsidRPr="00A329EC">
        <w:rPr>
          <w:rFonts w:ascii="Bembo Std" w:eastAsia="Arial Unicode MS" w:hAnsi="Bembo Std" w:cstheme="minorHAnsi"/>
          <w:sz w:val="20"/>
          <w:szCs w:val="20"/>
          <w:lang w:eastAsia="es-SV"/>
        </w:rPr>
        <w:t>a</w:t>
      </w:r>
      <w:r w:rsidRPr="00A329EC">
        <w:rPr>
          <w:rFonts w:ascii="Bembo Std" w:eastAsia="Arial Unicode MS" w:hAnsi="Bembo Std" w:cstheme="minorHAnsi"/>
          <w:sz w:val="20"/>
          <w:szCs w:val="20"/>
          <w:lang w:eastAsia="es-SV"/>
        </w:rPr>
        <w:t xml:space="preserve"> con </w:t>
      </w:r>
      <w:r w:rsidR="00111163" w:rsidRPr="00A329EC">
        <w:rPr>
          <w:rFonts w:ascii="Bembo Std" w:eastAsia="Arial Unicode MS" w:hAnsi="Bembo Std" w:cstheme="minorHAnsi"/>
          <w:sz w:val="20"/>
          <w:szCs w:val="20"/>
          <w:lang w:eastAsia="es-SV"/>
        </w:rPr>
        <w:t xml:space="preserve">Documento Único de Identidad </w:t>
      </w:r>
      <w:r w:rsidRPr="00A329EC">
        <w:rPr>
          <w:rFonts w:ascii="Bembo Std" w:eastAsia="Arial Unicode MS" w:hAnsi="Bembo Std" w:cstheme="minorHAnsi"/>
          <w:b/>
          <w:color w:val="000066"/>
          <w:sz w:val="20"/>
          <w:szCs w:val="20"/>
          <w:lang w:eastAsia="es-SV"/>
        </w:rPr>
        <w:t xml:space="preserve">N° </w:t>
      </w:r>
      <w:proofErr w:type="spellStart"/>
      <w:r w:rsidR="00A72AD5">
        <w:rPr>
          <w:rFonts w:ascii="Bembo Std" w:eastAsia="Arial Unicode MS" w:hAnsi="Bembo Std" w:cstheme="minorHAnsi"/>
          <w:b/>
          <w:color w:val="000066"/>
          <w:sz w:val="20"/>
          <w:szCs w:val="20"/>
          <w:lang w:eastAsia="es-SV"/>
        </w:rPr>
        <w:t>xxxx</w:t>
      </w:r>
      <w:proofErr w:type="spellEnd"/>
      <w:r w:rsidR="00B16376" w:rsidRPr="00A329EC">
        <w:rPr>
          <w:rFonts w:ascii="Bembo Std" w:eastAsia="Arial Unicode MS" w:hAnsi="Bembo Std" w:cstheme="minorHAnsi"/>
          <w:b/>
          <w:color w:val="000066"/>
          <w:sz w:val="20"/>
          <w:szCs w:val="20"/>
          <w:lang w:eastAsia="es-SV"/>
        </w:rPr>
        <w:t>,</w:t>
      </w:r>
      <w:r w:rsidR="00111163" w:rsidRPr="00A329EC">
        <w:rPr>
          <w:rFonts w:ascii="Bembo Std" w:eastAsia="Arial Unicode MS" w:hAnsi="Bembo Std" w:cstheme="minorHAnsi"/>
          <w:b/>
          <w:color w:val="000066"/>
          <w:sz w:val="20"/>
          <w:szCs w:val="20"/>
          <w:lang w:eastAsia="es-SV"/>
        </w:rPr>
        <w:t xml:space="preserve"> </w:t>
      </w:r>
      <w:r w:rsidRPr="00A329EC">
        <w:rPr>
          <w:rFonts w:ascii="Bembo Std" w:eastAsia="Arial Unicode MS" w:hAnsi="Bembo Std" w:cs="Arial Unicode MS"/>
          <w:sz w:val="20"/>
          <w:szCs w:val="20"/>
          <w:lang w:eastAsia="es-SV"/>
        </w:rPr>
        <w:t>al respecto CONSIDERANDO que:</w:t>
      </w:r>
    </w:p>
    <w:p w:rsidR="0051378E" w:rsidRPr="00A329EC" w:rsidRDefault="0051378E" w:rsidP="0051378E">
      <w:pPr>
        <w:spacing w:after="0" w:line="240" w:lineRule="auto"/>
        <w:jc w:val="both"/>
        <w:rPr>
          <w:rFonts w:ascii="Bembo Std" w:eastAsia="Arial Unicode MS" w:hAnsi="Bembo Std" w:cs="Arial Unicode MS"/>
          <w:sz w:val="20"/>
          <w:szCs w:val="20"/>
          <w:lang w:eastAsia="es-SV"/>
        </w:rPr>
      </w:pPr>
    </w:p>
    <w:p w:rsidR="0051378E" w:rsidRPr="00A329EC" w:rsidRDefault="0094356A" w:rsidP="00517DD7">
      <w:pPr>
        <w:pStyle w:val="Prrafodelista"/>
        <w:numPr>
          <w:ilvl w:val="0"/>
          <w:numId w:val="1"/>
        </w:numPr>
        <w:jc w:val="both"/>
        <w:rPr>
          <w:rFonts w:ascii="Bembo Std" w:eastAsia="Arial Unicode MS" w:hAnsi="Bembo Std" w:cstheme="minorHAnsi"/>
          <w:sz w:val="20"/>
          <w:szCs w:val="20"/>
          <w:lang w:eastAsia="es-SV"/>
        </w:rPr>
      </w:pPr>
      <w:r w:rsidRPr="00A329EC">
        <w:rPr>
          <w:rFonts w:ascii="Bembo Std" w:eastAsia="Arial Unicode MS" w:hAnsi="Bembo Std" w:cstheme="minorHAnsi"/>
          <w:sz w:val="20"/>
          <w:szCs w:val="20"/>
          <w:lang w:val="es-SV" w:eastAsia="es-SV"/>
        </w:rPr>
        <w:t xml:space="preserve">La </w:t>
      </w:r>
      <w:r w:rsidR="00F17B3C" w:rsidRPr="00A329EC">
        <w:rPr>
          <w:rFonts w:ascii="Bembo Std" w:eastAsia="Arial Unicode MS" w:hAnsi="Bembo Std" w:cstheme="minorHAnsi"/>
          <w:color w:val="000066"/>
          <w:sz w:val="20"/>
          <w:szCs w:val="20"/>
          <w:lang w:eastAsia="es-SV"/>
        </w:rPr>
        <w:t>Peticionari</w:t>
      </w:r>
      <w:r w:rsidRPr="00A329EC">
        <w:rPr>
          <w:rFonts w:ascii="Bembo Std" w:eastAsia="Arial Unicode MS" w:hAnsi="Bembo Std" w:cstheme="minorHAnsi"/>
          <w:color w:val="000066"/>
          <w:sz w:val="20"/>
          <w:szCs w:val="20"/>
          <w:lang w:eastAsia="es-SV"/>
        </w:rPr>
        <w:t>a</w:t>
      </w:r>
      <w:r w:rsidR="00884714" w:rsidRPr="00A329EC">
        <w:rPr>
          <w:rFonts w:ascii="Bembo Std" w:eastAsia="Arial Unicode MS" w:hAnsi="Bembo Std" w:cstheme="minorHAnsi"/>
          <w:color w:val="000066"/>
          <w:sz w:val="20"/>
          <w:szCs w:val="20"/>
          <w:lang w:eastAsia="es-SV"/>
        </w:rPr>
        <w:t xml:space="preserve"> </w:t>
      </w:r>
      <w:r w:rsidR="0051378E" w:rsidRPr="00A329EC">
        <w:rPr>
          <w:rFonts w:ascii="Bembo Std" w:eastAsia="Arial Unicode MS" w:hAnsi="Bembo Std" w:cstheme="minorHAnsi"/>
          <w:sz w:val="20"/>
          <w:szCs w:val="20"/>
          <w:lang w:eastAsia="es-SV"/>
        </w:rPr>
        <w:t xml:space="preserve">presentó solicitud de información el día </w:t>
      </w:r>
      <w:r w:rsidR="004643BD" w:rsidRPr="00A329EC">
        <w:rPr>
          <w:rFonts w:ascii="Bembo Std" w:eastAsia="Arial Unicode MS" w:hAnsi="Bembo Std" w:cstheme="minorHAnsi"/>
          <w:i/>
          <w:color w:val="000066"/>
          <w:sz w:val="20"/>
          <w:szCs w:val="20"/>
          <w:lang w:eastAsia="es-SV"/>
        </w:rPr>
        <w:t xml:space="preserve">veinticinco </w:t>
      </w:r>
      <w:r w:rsidR="00111163" w:rsidRPr="00A329EC">
        <w:rPr>
          <w:rFonts w:ascii="Bembo Std" w:eastAsia="Arial Unicode MS" w:hAnsi="Bembo Std" w:cstheme="minorHAnsi"/>
          <w:i/>
          <w:color w:val="000066"/>
          <w:sz w:val="20"/>
          <w:szCs w:val="20"/>
          <w:lang w:eastAsia="es-SV"/>
        </w:rPr>
        <w:t xml:space="preserve">de </w:t>
      </w:r>
      <w:r w:rsidR="00136170" w:rsidRPr="00A329EC">
        <w:rPr>
          <w:rFonts w:ascii="Bembo Std" w:eastAsia="Arial Unicode MS" w:hAnsi="Bembo Std" w:cstheme="minorHAnsi"/>
          <w:i/>
          <w:color w:val="000066"/>
          <w:sz w:val="20"/>
          <w:szCs w:val="20"/>
          <w:lang w:eastAsia="es-SV"/>
        </w:rPr>
        <w:t>o</w:t>
      </w:r>
      <w:r w:rsidR="004643BD" w:rsidRPr="00A329EC">
        <w:rPr>
          <w:rFonts w:ascii="Bembo Std" w:eastAsia="Arial Unicode MS" w:hAnsi="Bembo Std" w:cstheme="minorHAnsi"/>
          <w:i/>
          <w:color w:val="000066"/>
          <w:sz w:val="20"/>
          <w:szCs w:val="20"/>
          <w:lang w:eastAsia="es-SV"/>
        </w:rPr>
        <w:t>ctubre</w:t>
      </w:r>
      <w:r w:rsidRPr="00A329EC">
        <w:rPr>
          <w:rFonts w:ascii="Bembo Std" w:eastAsia="Arial Unicode MS" w:hAnsi="Bembo Std" w:cstheme="minorHAnsi"/>
          <w:i/>
          <w:color w:val="000066"/>
          <w:sz w:val="20"/>
          <w:szCs w:val="20"/>
          <w:lang w:eastAsia="es-SV"/>
        </w:rPr>
        <w:t xml:space="preserve"> </w:t>
      </w:r>
      <w:r w:rsidR="00294A8F" w:rsidRPr="00A329EC">
        <w:rPr>
          <w:rFonts w:ascii="Bembo Std" w:eastAsia="Arial Unicode MS" w:hAnsi="Bembo Std" w:cstheme="minorHAnsi"/>
          <w:sz w:val="20"/>
          <w:szCs w:val="20"/>
          <w:lang w:eastAsia="es-SV"/>
        </w:rPr>
        <w:t xml:space="preserve">de </w:t>
      </w:r>
      <w:r w:rsidR="00876728" w:rsidRPr="00A329EC">
        <w:rPr>
          <w:rFonts w:ascii="Bembo Std" w:eastAsia="Arial Unicode MS" w:hAnsi="Bembo Std" w:cstheme="minorHAnsi"/>
          <w:sz w:val="20"/>
          <w:szCs w:val="20"/>
          <w:lang w:eastAsia="es-SV"/>
        </w:rPr>
        <w:t>dos mil diecinueve a lo</w:t>
      </w:r>
      <w:r w:rsidR="0051378E" w:rsidRPr="00A329EC">
        <w:rPr>
          <w:rFonts w:ascii="Bembo Std" w:eastAsia="Arial Unicode MS" w:hAnsi="Bembo Std" w:cstheme="minorHAnsi"/>
          <w:sz w:val="20"/>
          <w:szCs w:val="20"/>
          <w:lang w:eastAsia="es-SV"/>
        </w:rPr>
        <w:t xml:space="preserve">s </w:t>
      </w:r>
      <w:r w:rsidR="004643BD" w:rsidRPr="00A329EC">
        <w:rPr>
          <w:rFonts w:ascii="Bembo Std" w:eastAsia="Arial Unicode MS" w:hAnsi="Bembo Std" w:cstheme="minorHAnsi"/>
          <w:i/>
          <w:color w:val="000066"/>
          <w:sz w:val="20"/>
          <w:szCs w:val="20"/>
          <w:lang w:eastAsia="es-SV"/>
        </w:rPr>
        <w:t xml:space="preserve">once </w:t>
      </w:r>
      <w:r w:rsidR="00136170" w:rsidRPr="00A329EC">
        <w:rPr>
          <w:rFonts w:ascii="Bembo Std" w:eastAsia="Arial Unicode MS" w:hAnsi="Bembo Std" w:cstheme="minorHAnsi"/>
          <w:i/>
          <w:color w:val="000066"/>
          <w:sz w:val="20"/>
          <w:szCs w:val="20"/>
          <w:lang w:eastAsia="es-SV"/>
        </w:rPr>
        <w:t xml:space="preserve">horas </w:t>
      </w:r>
      <w:r w:rsidRPr="00A329EC">
        <w:rPr>
          <w:rFonts w:ascii="Bembo Std" w:eastAsia="Arial Unicode MS" w:hAnsi="Bembo Std" w:cstheme="minorHAnsi"/>
          <w:i/>
          <w:color w:val="000066"/>
          <w:sz w:val="20"/>
          <w:szCs w:val="20"/>
          <w:lang w:eastAsia="es-SV"/>
        </w:rPr>
        <w:t xml:space="preserve">con </w:t>
      </w:r>
      <w:r w:rsidR="00136170" w:rsidRPr="00A329EC">
        <w:rPr>
          <w:rFonts w:ascii="Bembo Std" w:eastAsia="Arial Unicode MS" w:hAnsi="Bembo Std" w:cstheme="minorHAnsi"/>
          <w:i/>
          <w:color w:val="000066"/>
          <w:sz w:val="20"/>
          <w:szCs w:val="20"/>
          <w:lang w:eastAsia="es-SV"/>
        </w:rPr>
        <w:t>veinti</w:t>
      </w:r>
      <w:r w:rsidR="004643BD" w:rsidRPr="00A329EC">
        <w:rPr>
          <w:rFonts w:ascii="Bembo Std" w:eastAsia="Arial Unicode MS" w:hAnsi="Bembo Std" w:cstheme="minorHAnsi"/>
          <w:i/>
          <w:color w:val="000066"/>
          <w:sz w:val="20"/>
          <w:szCs w:val="20"/>
          <w:lang w:eastAsia="es-SV"/>
        </w:rPr>
        <w:t>trés</w:t>
      </w:r>
      <w:r w:rsidR="00136170" w:rsidRPr="00A329EC">
        <w:rPr>
          <w:rFonts w:ascii="Bembo Std" w:eastAsia="Arial Unicode MS" w:hAnsi="Bembo Std" w:cstheme="minorHAnsi"/>
          <w:i/>
          <w:color w:val="000066"/>
          <w:sz w:val="20"/>
          <w:szCs w:val="20"/>
          <w:lang w:eastAsia="es-SV"/>
        </w:rPr>
        <w:t xml:space="preserve"> </w:t>
      </w:r>
      <w:r w:rsidRPr="00A329EC">
        <w:rPr>
          <w:rFonts w:ascii="Bembo Std" w:eastAsia="Arial Unicode MS" w:hAnsi="Bembo Std" w:cstheme="minorHAnsi"/>
          <w:i/>
          <w:color w:val="000066"/>
          <w:sz w:val="20"/>
          <w:szCs w:val="20"/>
          <w:lang w:eastAsia="es-SV"/>
        </w:rPr>
        <w:t>minutos</w:t>
      </w:r>
      <w:r w:rsidR="0051378E" w:rsidRPr="00A329EC">
        <w:rPr>
          <w:rFonts w:ascii="Bembo Std" w:eastAsia="Arial Unicode MS" w:hAnsi="Bembo Std" w:cstheme="minorHAnsi"/>
          <w:i/>
          <w:color w:val="000066"/>
          <w:sz w:val="20"/>
          <w:szCs w:val="20"/>
          <w:lang w:eastAsia="es-SV"/>
        </w:rPr>
        <w:t xml:space="preserve"> </w:t>
      </w:r>
      <w:r w:rsidRPr="00A329EC">
        <w:rPr>
          <w:rFonts w:ascii="Bembo Std" w:eastAsia="Arial Unicode MS" w:hAnsi="Bembo Std" w:cstheme="minorHAnsi"/>
          <w:color w:val="000066"/>
          <w:sz w:val="20"/>
          <w:szCs w:val="20"/>
          <w:lang w:eastAsia="es-SV"/>
        </w:rPr>
        <w:t>a través de Correo Electrónico</w:t>
      </w:r>
      <w:r w:rsidR="00136170" w:rsidRPr="00A329EC">
        <w:rPr>
          <w:rFonts w:ascii="Bembo Std" w:eastAsia="Arial Unicode MS" w:hAnsi="Bembo Std" w:cstheme="minorHAnsi"/>
          <w:color w:val="000066"/>
          <w:sz w:val="20"/>
          <w:szCs w:val="20"/>
          <w:lang w:eastAsia="es-SV"/>
        </w:rPr>
        <w:t xml:space="preserve"> en la OIR</w:t>
      </w:r>
      <w:r w:rsidR="0051378E" w:rsidRPr="00A329EC">
        <w:rPr>
          <w:rFonts w:ascii="Bembo Std" w:eastAsia="Arial Unicode MS" w:hAnsi="Bembo Std" w:cstheme="minorHAnsi"/>
          <w:sz w:val="20"/>
          <w:szCs w:val="20"/>
          <w:lang w:eastAsia="es-SV"/>
        </w:rPr>
        <w:t xml:space="preserve">, siendo admitida el </w:t>
      </w:r>
      <w:r w:rsidR="00BF6CA5" w:rsidRPr="00A329EC">
        <w:rPr>
          <w:rFonts w:ascii="Bembo Std" w:eastAsia="Arial Unicode MS" w:hAnsi="Bembo Std" w:cstheme="minorHAnsi"/>
          <w:sz w:val="20"/>
          <w:szCs w:val="20"/>
          <w:lang w:eastAsia="es-SV"/>
        </w:rPr>
        <w:t xml:space="preserve">día </w:t>
      </w:r>
      <w:r w:rsidR="004643BD" w:rsidRPr="00A329EC">
        <w:rPr>
          <w:rFonts w:ascii="Bembo Std" w:eastAsia="Arial Unicode MS" w:hAnsi="Bembo Std" w:cstheme="minorHAnsi"/>
          <w:i/>
          <w:sz w:val="20"/>
          <w:szCs w:val="20"/>
          <w:lang w:eastAsia="es-SV"/>
        </w:rPr>
        <w:t>veintiocho</w:t>
      </w:r>
      <w:r w:rsidRPr="00A329EC">
        <w:rPr>
          <w:rFonts w:ascii="Bembo Std" w:eastAsia="Arial Unicode MS" w:hAnsi="Bembo Std" w:cstheme="minorHAnsi"/>
          <w:i/>
          <w:sz w:val="20"/>
          <w:szCs w:val="20"/>
          <w:lang w:eastAsia="es-SV"/>
        </w:rPr>
        <w:t xml:space="preserve"> </w:t>
      </w:r>
      <w:r w:rsidR="00BF6CA5" w:rsidRPr="00A329EC">
        <w:rPr>
          <w:rFonts w:ascii="Bembo Std" w:eastAsia="Arial Unicode MS" w:hAnsi="Bembo Std" w:cstheme="minorHAnsi"/>
          <w:i/>
          <w:sz w:val="20"/>
          <w:szCs w:val="20"/>
          <w:lang w:eastAsia="es-SV"/>
        </w:rPr>
        <w:t xml:space="preserve">del </w:t>
      </w:r>
      <w:r w:rsidR="009E0DD0" w:rsidRPr="00A329EC">
        <w:rPr>
          <w:rFonts w:ascii="Bembo Std" w:eastAsia="Arial Unicode MS" w:hAnsi="Bembo Std" w:cstheme="minorHAnsi"/>
          <w:i/>
          <w:sz w:val="20"/>
          <w:szCs w:val="20"/>
          <w:lang w:eastAsia="es-SV"/>
        </w:rPr>
        <w:t xml:space="preserve">mismo </w:t>
      </w:r>
      <w:r w:rsidR="00BF6CA5" w:rsidRPr="00A329EC">
        <w:rPr>
          <w:rFonts w:ascii="Bembo Std" w:eastAsia="Arial Unicode MS" w:hAnsi="Bembo Std" w:cstheme="minorHAnsi"/>
          <w:i/>
          <w:sz w:val="20"/>
          <w:szCs w:val="20"/>
          <w:lang w:eastAsia="es-SV"/>
        </w:rPr>
        <w:t>mes</w:t>
      </w:r>
      <w:r w:rsidR="0051378E" w:rsidRPr="00A329EC">
        <w:rPr>
          <w:rFonts w:ascii="Bembo Std" w:eastAsia="Arial Unicode MS" w:hAnsi="Bembo Std" w:cstheme="minorHAnsi"/>
          <w:sz w:val="20"/>
          <w:szCs w:val="20"/>
          <w:lang w:eastAsia="es-SV"/>
        </w:rPr>
        <w:t xml:space="preserve">, en la cual </w:t>
      </w:r>
      <w:r w:rsidR="00294A8F" w:rsidRPr="00A329EC">
        <w:rPr>
          <w:rFonts w:ascii="Bembo Std" w:eastAsia="Arial Unicode MS" w:hAnsi="Bembo Std" w:cstheme="minorHAnsi"/>
          <w:sz w:val="20"/>
          <w:szCs w:val="20"/>
          <w:lang w:eastAsia="es-SV"/>
        </w:rPr>
        <w:t>s</w:t>
      </w:r>
      <w:r w:rsidR="0051378E" w:rsidRPr="00A329EC">
        <w:rPr>
          <w:rFonts w:ascii="Bembo Std" w:eastAsia="Arial Unicode MS" w:hAnsi="Bembo Std" w:cstheme="minorHAnsi"/>
          <w:sz w:val="20"/>
          <w:szCs w:val="20"/>
          <w:lang w:eastAsia="es-SV"/>
        </w:rPr>
        <w:t>olicita lo siguiente:</w:t>
      </w:r>
    </w:p>
    <w:p w:rsidR="004643BD" w:rsidRPr="00A329EC" w:rsidRDefault="004643BD" w:rsidP="004643BD">
      <w:pPr>
        <w:pStyle w:val="Prrafodelista"/>
        <w:ind w:left="720"/>
        <w:jc w:val="both"/>
        <w:rPr>
          <w:rFonts w:ascii="Bembo Std" w:eastAsia="Arial Unicode MS" w:hAnsi="Bembo Std" w:cstheme="minorHAnsi"/>
          <w:sz w:val="20"/>
          <w:szCs w:val="20"/>
          <w:lang w:eastAsia="es-SV"/>
        </w:rPr>
      </w:pPr>
    </w:p>
    <w:p w:rsidR="004643BD" w:rsidRPr="00A329EC" w:rsidRDefault="004643BD" w:rsidP="004643BD">
      <w:pPr>
        <w:pStyle w:val="Prrafodelista"/>
        <w:numPr>
          <w:ilvl w:val="0"/>
          <w:numId w:val="38"/>
        </w:numPr>
        <w:jc w:val="both"/>
        <w:rPr>
          <w:rFonts w:ascii="Bembo Std" w:eastAsia="Arial Unicode MS" w:hAnsi="Bembo Std" w:cstheme="minorHAnsi"/>
          <w:color w:val="002060"/>
          <w:sz w:val="20"/>
          <w:szCs w:val="20"/>
          <w:lang w:eastAsia="es-SV"/>
        </w:rPr>
      </w:pPr>
      <w:r w:rsidRPr="00A329EC">
        <w:rPr>
          <w:rFonts w:ascii="Bembo Std" w:eastAsia="Arial Unicode MS" w:hAnsi="Bembo Std" w:cstheme="minorHAnsi"/>
          <w:color w:val="002060"/>
          <w:sz w:val="20"/>
          <w:szCs w:val="20"/>
          <w:lang w:eastAsia="es-SV"/>
        </w:rPr>
        <w:t>Copia íntegra, electrónica y en formato PDF de los AVISOS PENALES (2014-2017) que haya</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interpuesto el Ministerio de Agricultura y Ganadería en relación a los siguientes bienes que se detallan</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en oficio adjunto en su versión pública de acuerdo al artículo 30 de la LAIP.</w:t>
      </w:r>
    </w:p>
    <w:p w:rsidR="004643BD" w:rsidRPr="00A329EC" w:rsidRDefault="004643BD" w:rsidP="004643BD">
      <w:pPr>
        <w:pStyle w:val="Prrafodelista"/>
        <w:ind w:left="1080"/>
        <w:jc w:val="both"/>
        <w:rPr>
          <w:rFonts w:ascii="Bembo Std" w:eastAsia="Arial Unicode MS" w:hAnsi="Bembo Std" w:cstheme="minorHAnsi"/>
          <w:color w:val="002060"/>
          <w:sz w:val="12"/>
          <w:szCs w:val="20"/>
          <w:lang w:eastAsia="es-SV"/>
        </w:rPr>
      </w:pPr>
    </w:p>
    <w:p w:rsidR="004643BD" w:rsidRPr="00A329EC" w:rsidRDefault="004643BD" w:rsidP="004643BD">
      <w:pPr>
        <w:pStyle w:val="Prrafodelista"/>
        <w:numPr>
          <w:ilvl w:val="0"/>
          <w:numId w:val="38"/>
        </w:numPr>
        <w:jc w:val="both"/>
        <w:rPr>
          <w:rFonts w:ascii="Bembo Std" w:eastAsia="Arial Unicode MS" w:hAnsi="Bembo Std" w:cstheme="minorHAnsi"/>
          <w:color w:val="002060"/>
          <w:sz w:val="20"/>
          <w:szCs w:val="20"/>
          <w:lang w:eastAsia="es-SV"/>
        </w:rPr>
      </w:pPr>
      <w:r w:rsidRPr="00A329EC">
        <w:rPr>
          <w:rFonts w:ascii="Bembo Std" w:eastAsia="Arial Unicode MS" w:hAnsi="Bembo Std" w:cstheme="minorHAnsi"/>
          <w:color w:val="002060"/>
          <w:sz w:val="20"/>
          <w:szCs w:val="20"/>
          <w:lang w:eastAsia="es-SV"/>
        </w:rPr>
        <w:t>En relación a los bienes enunciados en el numeral uno de esta solicitud, también se requiere el estado</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actual de los procesos desarrollados por el ministerio</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concernientes a dichos bienes perdidos y/o</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hurtados, y en caso de que los procesos realizados ya cuenten con una resolución final, se requiere</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la copia íntegra, electrónica y en formato PDF de las mismas resoluciones, o en su defecto de la</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última actuación que se encuentre consignada en el proceso desarrollado.</w:t>
      </w:r>
    </w:p>
    <w:p w:rsidR="004643BD" w:rsidRPr="00A329EC" w:rsidRDefault="004643BD" w:rsidP="004643BD">
      <w:pPr>
        <w:pStyle w:val="Prrafodelista"/>
        <w:ind w:left="1080"/>
        <w:jc w:val="both"/>
        <w:rPr>
          <w:rFonts w:ascii="Bembo Std" w:eastAsia="Arial Unicode MS" w:hAnsi="Bembo Std" w:cstheme="minorHAnsi"/>
          <w:color w:val="002060"/>
          <w:sz w:val="12"/>
          <w:szCs w:val="20"/>
          <w:lang w:eastAsia="es-SV"/>
        </w:rPr>
      </w:pPr>
    </w:p>
    <w:p w:rsidR="0094356A" w:rsidRPr="00A329EC" w:rsidRDefault="004643BD" w:rsidP="004643BD">
      <w:pPr>
        <w:pStyle w:val="Prrafodelista"/>
        <w:numPr>
          <w:ilvl w:val="0"/>
          <w:numId w:val="38"/>
        </w:numPr>
        <w:jc w:val="both"/>
        <w:rPr>
          <w:rFonts w:ascii="Bembo Std" w:eastAsia="Arial Unicode MS" w:hAnsi="Bembo Std" w:cstheme="minorHAnsi"/>
          <w:color w:val="002060"/>
          <w:sz w:val="20"/>
          <w:szCs w:val="20"/>
          <w:lang w:eastAsia="es-SV"/>
        </w:rPr>
      </w:pPr>
      <w:r w:rsidRPr="00A329EC">
        <w:rPr>
          <w:rFonts w:ascii="Bembo Std" w:eastAsia="Arial Unicode MS" w:hAnsi="Bembo Std" w:cstheme="minorHAnsi"/>
          <w:color w:val="002060"/>
          <w:sz w:val="20"/>
          <w:szCs w:val="20"/>
          <w:lang w:eastAsia="es-SV"/>
        </w:rPr>
        <w:t>Copia íntegra, electrónica y en formato PDF de los MEMORÁNDUMS DIRIGIDOS DESDE</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LA DIRECCIÓN GENERAL DE ADMINISTRACIÓN Y FINANZAS (DGAF) PARA LA OFICINA</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GENERAL DE ADMINISTRACIÓN (OGA) ambas de dicho ministerio, así como los</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MEMORÁNDUMS ENVIADOS POR LA OFICINA GENERAL DE ADMINISTRACIÓN (OGA) A</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LA DIRECCIÓN GENERAL DE ADMINISTRACIÓN Y FINANZAS (DGAF), desde el día uno de</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junio de 2014 hasta el 31 de mayo de 2019, para ambas oficinas, los memorándum se requieren</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independientemente del asunto o tema, que se le haya consignado en el texto del encabezado al</w:t>
      </w:r>
      <w:r w:rsidRPr="00A329EC">
        <w:rPr>
          <w:rFonts w:ascii="Bembo Std" w:eastAsia="Arial Unicode MS" w:hAnsi="Bembo Std" w:cstheme="minorHAnsi"/>
          <w:color w:val="002060"/>
          <w:sz w:val="20"/>
          <w:szCs w:val="20"/>
          <w:lang w:eastAsia="es-SV"/>
        </w:rPr>
        <w:t xml:space="preserve"> </w:t>
      </w:r>
      <w:r w:rsidRPr="00A329EC">
        <w:rPr>
          <w:rFonts w:ascii="Bembo Std" w:eastAsia="Arial Unicode MS" w:hAnsi="Bembo Std" w:cstheme="minorHAnsi"/>
          <w:color w:val="002060"/>
          <w:sz w:val="20"/>
          <w:szCs w:val="20"/>
          <w:lang w:eastAsia="es-SV"/>
        </w:rPr>
        <w:t>memorándum.</w:t>
      </w:r>
    </w:p>
    <w:p w:rsidR="004643BD" w:rsidRPr="00A329EC" w:rsidRDefault="004643BD" w:rsidP="00B16376">
      <w:pPr>
        <w:pStyle w:val="Prrafodelista"/>
        <w:ind w:left="720"/>
        <w:jc w:val="both"/>
        <w:rPr>
          <w:rFonts w:ascii="Bembo Std" w:eastAsia="Arial Unicode MS" w:hAnsi="Bembo Std" w:cstheme="minorHAnsi"/>
          <w:color w:val="002060"/>
          <w:sz w:val="20"/>
          <w:szCs w:val="20"/>
          <w:lang w:val="es-SV" w:eastAsia="es-SV"/>
        </w:rPr>
      </w:pPr>
    </w:p>
    <w:p w:rsidR="0051378E" w:rsidRPr="00A329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329EC" w:rsidRDefault="00926191"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3206ED" w:rsidRPr="00A329EC" w:rsidRDefault="0051378E" w:rsidP="003206ED">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A329EC" w:rsidRPr="00A329EC" w:rsidRDefault="00A329EC" w:rsidP="00A329EC">
      <w:pPr>
        <w:pStyle w:val="Prrafodelista"/>
        <w:rPr>
          <w:rFonts w:ascii="Bembo Std" w:eastAsia="Arial Unicode MS" w:hAnsi="Bembo Std" w:cstheme="minorHAnsi"/>
          <w:sz w:val="20"/>
          <w:szCs w:val="20"/>
        </w:rPr>
      </w:pPr>
    </w:p>
    <w:p w:rsidR="0051378E" w:rsidRPr="00A329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4643BD" w:rsidRPr="00A329EC" w:rsidRDefault="004643BD" w:rsidP="004643BD">
      <w:pPr>
        <w:pStyle w:val="Prrafodelista"/>
        <w:rPr>
          <w:rFonts w:ascii="Bembo Std" w:eastAsia="Arial Unicode MS" w:hAnsi="Bembo Std" w:cstheme="minorHAnsi"/>
          <w:sz w:val="20"/>
          <w:szCs w:val="20"/>
        </w:rPr>
      </w:pPr>
    </w:p>
    <w:p w:rsidR="004643BD" w:rsidRPr="00A329EC" w:rsidRDefault="004643BD" w:rsidP="00840E07">
      <w:pPr>
        <w:pStyle w:val="Prrafodelista"/>
        <w:numPr>
          <w:ilvl w:val="0"/>
          <w:numId w:val="1"/>
        </w:numPr>
        <w:jc w:val="both"/>
        <w:rPr>
          <w:rFonts w:ascii="Bembo Std" w:eastAsia="Arial Unicode MS" w:hAnsi="Bembo Std" w:cstheme="minorHAnsi"/>
          <w:sz w:val="20"/>
          <w:szCs w:val="20"/>
        </w:rPr>
      </w:pPr>
      <w:r w:rsidRPr="00A329EC">
        <w:rPr>
          <w:rFonts w:ascii="Bembo Std" w:eastAsia="Arial Unicode MS" w:hAnsi="Bembo Std" w:cstheme="minorHAnsi"/>
          <w:sz w:val="20"/>
          <w:szCs w:val="20"/>
        </w:rPr>
        <w:t xml:space="preserve">Que </w:t>
      </w:r>
      <w:r w:rsidRPr="00A329EC">
        <w:rPr>
          <w:rFonts w:ascii="Bembo Std" w:eastAsia="Arial Unicode MS" w:hAnsi="Bembo Std" w:cstheme="minorHAnsi"/>
          <w:color w:val="C00000"/>
          <w:sz w:val="20"/>
          <w:szCs w:val="20"/>
        </w:rPr>
        <w:t xml:space="preserve">parte de lo requerido se encuentra </w:t>
      </w:r>
      <w:r w:rsidRPr="00A329EC">
        <w:rPr>
          <w:rFonts w:ascii="Bembo Std" w:eastAsia="Arial Unicode MS" w:hAnsi="Bembo Std" w:cstheme="minorHAnsi"/>
          <w:sz w:val="20"/>
          <w:szCs w:val="20"/>
        </w:rPr>
        <w:t>entre las excepciones enumeradas en los arts. 19 y 24 de la Ley, y 19 del Reglamento, por lo que se entregará versión pública (artículo 30 LAIP);</w:t>
      </w:r>
    </w:p>
    <w:p w:rsidR="00957141" w:rsidRPr="00A329EC" w:rsidRDefault="00957141" w:rsidP="00957141">
      <w:pPr>
        <w:pStyle w:val="Prrafodelista"/>
        <w:rPr>
          <w:rFonts w:ascii="Bembo Std" w:eastAsia="Arial Unicode MS" w:hAnsi="Bembo Std" w:cstheme="minorHAnsi"/>
          <w:sz w:val="14"/>
          <w:szCs w:val="20"/>
        </w:rPr>
      </w:pPr>
    </w:p>
    <w:p w:rsidR="009F5113" w:rsidRPr="00A329EC" w:rsidRDefault="0051378E" w:rsidP="009F5113">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Que</w:t>
      </w:r>
      <w:r w:rsidR="00111163" w:rsidRPr="00A329EC">
        <w:rPr>
          <w:rFonts w:ascii="Bembo Std" w:eastAsia="Arial Unicode MS" w:hAnsi="Bembo Std" w:cstheme="minorHAnsi"/>
          <w:sz w:val="20"/>
          <w:szCs w:val="20"/>
        </w:rPr>
        <w:t xml:space="preserve"> </w:t>
      </w:r>
      <w:r w:rsidR="00593FD9" w:rsidRPr="00A329EC">
        <w:rPr>
          <w:rFonts w:ascii="Bembo Std" w:eastAsia="Arial Unicode MS" w:hAnsi="Bembo Std" w:cstheme="minorHAnsi"/>
          <w:sz w:val="20"/>
          <w:szCs w:val="20"/>
        </w:rPr>
        <w:t xml:space="preserve">si bien es cierto los </w:t>
      </w:r>
      <w:r w:rsidR="00593FD9" w:rsidRPr="00A329EC">
        <w:rPr>
          <w:rFonts w:ascii="Bembo Std" w:eastAsia="Arial Unicode MS" w:hAnsi="Bembo Std" w:cstheme="minorHAnsi"/>
          <w:i/>
          <w:sz w:val="20"/>
          <w:szCs w:val="20"/>
        </w:rPr>
        <w:t>Avisos Penales</w:t>
      </w:r>
      <w:r w:rsidR="00593FD9" w:rsidRPr="00A329EC">
        <w:rPr>
          <w:rFonts w:ascii="Bembo Std" w:eastAsia="Arial Unicode MS" w:hAnsi="Bembo Std" w:cstheme="minorHAnsi"/>
          <w:sz w:val="20"/>
          <w:szCs w:val="20"/>
        </w:rPr>
        <w:t xml:space="preserve"> solicitados han sido generados por la institución</w:t>
      </w:r>
      <w:r w:rsidR="006F12B6" w:rsidRPr="00A329EC">
        <w:rPr>
          <w:rFonts w:ascii="Bembo Std" w:eastAsia="Arial Unicode MS" w:hAnsi="Bembo Std" w:cstheme="minorHAnsi"/>
          <w:sz w:val="20"/>
          <w:szCs w:val="20"/>
        </w:rPr>
        <w:t xml:space="preserve"> y que se han</w:t>
      </w:r>
      <w:r w:rsidR="00593FD9" w:rsidRPr="00A329EC">
        <w:rPr>
          <w:rFonts w:ascii="Bembo Std" w:eastAsia="Arial Unicode MS" w:hAnsi="Bembo Std" w:cstheme="minorHAnsi"/>
          <w:sz w:val="20"/>
          <w:szCs w:val="20"/>
        </w:rPr>
        <w:t xml:space="preserve"> dirigid</w:t>
      </w:r>
      <w:r w:rsidR="006F12B6" w:rsidRPr="00A329EC">
        <w:rPr>
          <w:rFonts w:ascii="Bembo Std" w:eastAsia="Arial Unicode MS" w:hAnsi="Bembo Std" w:cstheme="minorHAnsi"/>
          <w:sz w:val="20"/>
          <w:szCs w:val="20"/>
        </w:rPr>
        <w:t>o</w:t>
      </w:r>
      <w:r w:rsidR="00593FD9" w:rsidRPr="00A329EC">
        <w:rPr>
          <w:rFonts w:ascii="Bembo Std" w:eastAsia="Arial Unicode MS" w:hAnsi="Bembo Std" w:cstheme="minorHAnsi"/>
          <w:sz w:val="20"/>
          <w:szCs w:val="20"/>
        </w:rPr>
        <w:t xml:space="preserve"> a la Fiscalía General de la República-FGR, solo poseemos copia de recibido, y que </w:t>
      </w:r>
      <w:r w:rsidR="006F12B6" w:rsidRPr="00A329EC">
        <w:rPr>
          <w:rFonts w:ascii="Bembo Std" w:eastAsia="Arial Unicode MS" w:hAnsi="Bembo Std" w:cstheme="minorHAnsi"/>
          <w:sz w:val="20"/>
          <w:szCs w:val="20"/>
        </w:rPr>
        <w:t>a</w:t>
      </w:r>
      <w:r w:rsidR="00593FD9" w:rsidRPr="00A329EC">
        <w:rPr>
          <w:rFonts w:ascii="Bembo Std" w:eastAsia="Arial Unicode MS" w:hAnsi="Bembo Std" w:cstheme="minorHAnsi"/>
          <w:sz w:val="20"/>
          <w:szCs w:val="20"/>
        </w:rPr>
        <w:t xml:space="preserve"> la fecha la FGR</w:t>
      </w:r>
      <w:r w:rsidR="006F12B6" w:rsidRPr="00A329EC">
        <w:rPr>
          <w:rFonts w:ascii="Bembo Std" w:eastAsia="Arial Unicode MS" w:hAnsi="Bembo Std" w:cstheme="minorHAnsi"/>
          <w:sz w:val="20"/>
          <w:szCs w:val="20"/>
        </w:rPr>
        <w:t xml:space="preserve"> aún no ha notificado</w:t>
      </w:r>
      <w:r w:rsidR="00840E07">
        <w:rPr>
          <w:rFonts w:ascii="Bembo Std" w:eastAsia="Arial Unicode MS" w:hAnsi="Bembo Std" w:cstheme="minorHAnsi"/>
          <w:sz w:val="20"/>
          <w:szCs w:val="20"/>
        </w:rPr>
        <w:t xml:space="preserve"> a este ministerio</w:t>
      </w:r>
      <w:r w:rsidR="006F12B6" w:rsidRPr="00A329EC">
        <w:rPr>
          <w:rFonts w:ascii="Bembo Std" w:eastAsia="Arial Unicode MS" w:hAnsi="Bembo Std" w:cstheme="minorHAnsi"/>
          <w:sz w:val="20"/>
          <w:szCs w:val="20"/>
        </w:rPr>
        <w:t xml:space="preserve"> el estado de los mismos</w:t>
      </w:r>
      <w:r w:rsidR="00840E07">
        <w:rPr>
          <w:rFonts w:ascii="Bembo Std" w:eastAsia="Arial Unicode MS" w:hAnsi="Bembo Std" w:cstheme="minorHAnsi"/>
          <w:sz w:val="20"/>
          <w:szCs w:val="20"/>
        </w:rPr>
        <w:t>,</w:t>
      </w:r>
      <w:r w:rsidR="003206ED" w:rsidRPr="00A329EC">
        <w:rPr>
          <w:rFonts w:ascii="Bembo Std" w:eastAsia="Arial Unicode MS" w:hAnsi="Bembo Std" w:cstheme="minorHAnsi"/>
          <w:sz w:val="20"/>
          <w:szCs w:val="20"/>
        </w:rPr>
        <w:t xml:space="preserve"> a pesar de haber </w:t>
      </w:r>
      <w:r w:rsidR="00840E07">
        <w:rPr>
          <w:rFonts w:ascii="Bembo Std" w:eastAsia="Arial Unicode MS" w:hAnsi="Bembo Std" w:cstheme="minorHAnsi"/>
          <w:sz w:val="20"/>
          <w:szCs w:val="20"/>
        </w:rPr>
        <w:t>solicitado conocer del estado sobre el particular, mediante oficios a ese organismo de fechas</w:t>
      </w:r>
      <w:r w:rsidR="003206ED" w:rsidRPr="00A329EC">
        <w:rPr>
          <w:rFonts w:ascii="Bembo Std" w:eastAsia="Arial Unicode MS" w:hAnsi="Bembo Std" w:cstheme="minorHAnsi"/>
          <w:sz w:val="20"/>
          <w:szCs w:val="20"/>
        </w:rPr>
        <w:t xml:space="preserve"> 14 de noviembre de 2018 y el 18 de septiembre del presente año</w:t>
      </w:r>
      <w:r w:rsidR="006F12B6" w:rsidRPr="00A329EC">
        <w:rPr>
          <w:rFonts w:ascii="Bembo Std" w:eastAsia="Arial Unicode MS" w:hAnsi="Bembo Std" w:cstheme="minorHAnsi"/>
          <w:sz w:val="20"/>
          <w:szCs w:val="20"/>
        </w:rPr>
        <w:t>;</w:t>
      </w:r>
    </w:p>
    <w:p w:rsidR="009F5113" w:rsidRPr="00A329EC" w:rsidRDefault="009F5113" w:rsidP="009F5113">
      <w:pPr>
        <w:pStyle w:val="Prrafodelista"/>
        <w:rPr>
          <w:rFonts w:ascii="Bembo Std" w:eastAsia="Arial Unicode MS" w:hAnsi="Bembo Std" w:cstheme="minorHAnsi"/>
          <w:sz w:val="14"/>
          <w:szCs w:val="20"/>
        </w:rPr>
      </w:pPr>
    </w:p>
    <w:p w:rsidR="003206ED" w:rsidRPr="00A329EC" w:rsidRDefault="006F12B6" w:rsidP="0095526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 xml:space="preserve">Qué de conformidad al </w:t>
      </w:r>
      <w:r w:rsidRPr="00A329EC">
        <w:rPr>
          <w:rFonts w:ascii="Bembo Std" w:eastAsia="Arial Unicode MS" w:hAnsi="Bembo Std" w:cstheme="minorHAnsi"/>
          <w:i/>
          <w:sz w:val="20"/>
          <w:szCs w:val="20"/>
        </w:rPr>
        <w:t>artículo 86 de la Constitución de la República</w:t>
      </w:r>
      <w:r w:rsidR="009F5113" w:rsidRPr="00A329EC">
        <w:rPr>
          <w:rFonts w:ascii="Bembo Std" w:eastAsia="Arial Unicode MS" w:hAnsi="Bembo Std" w:cstheme="minorHAnsi"/>
          <w:sz w:val="20"/>
          <w:szCs w:val="20"/>
        </w:rPr>
        <w:t>, éste</w:t>
      </w:r>
      <w:r w:rsidRPr="00A329EC">
        <w:rPr>
          <w:rFonts w:ascii="Bembo Std" w:eastAsia="Arial Unicode MS" w:hAnsi="Bembo Std" w:cstheme="minorHAnsi"/>
          <w:sz w:val="20"/>
          <w:szCs w:val="20"/>
        </w:rPr>
        <w:t xml:space="preserve"> se encuentra</w:t>
      </w:r>
      <w:r w:rsidR="009F5113" w:rsidRPr="00A329EC">
        <w:rPr>
          <w:rFonts w:ascii="Bembo Std" w:eastAsia="Arial Unicode MS" w:hAnsi="Bembo Std" w:cstheme="minorHAnsi"/>
          <w:sz w:val="20"/>
          <w:szCs w:val="20"/>
        </w:rPr>
        <w:t xml:space="preserve"> supeditado al </w:t>
      </w:r>
      <w:r w:rsidR="009F5113" w:rsidRPr="00A329EC">
        <w:rPr>
          <w:rFonts w:ascii="Bembo Std" w:eastAsia="Arial Unicode MS" w:hAnsi="Bembo Std" w:cstheme="minorHAnsi"/>
          <w:i/>
          <w:sz w:val="20"/>
          <w:szCs w:val="20"/>
        </w:rPr>
        <w:t>Principio de Legalidad</w:t>
      </w:r>
      <w:r w:rsidR="009F5113" w:rsidRPr="00A329EC">
        <w:rPr>
          <w:rFonts w:ascii="Bembo Std" w:eastAsia="Arial Unicode MS" w:hAnsi="Bembo Std" w:cstheme="minorHAnsi"/>
          <w:sz w:val="20"/>
          <w:szCs w:val="20"/>
        </w:rPr>
        <w:t>, el cual establece que la misma debe actuar sometida al ordenamiento jurídico y sólo podrá realizar aquellos actos que autorice dicho ordenamiento, no teniendo más facultades que las que expresamente le da la Ley; en ese sentido esta oficina procedió a consultar a la FGR</w:t>
      </w:r>
      <w:r w:rsidR="00DE2755" w:rsidRPr="00A329EC">
        <w:rPr>
          <w:rFonts w:ascii="Bembo Std" w:eastAsia="Arial Unicode MS" w:hAnsi="Bembo Std" w:cstheme="minorHAnsi"/>
          <w:sz w:val="20"/>
          <w:szCs w:val="20"/>
        </w:rPr>
        <w:t>, fundamentada en el artículo 3 del Reglamento de la LAIP, para saber</w:t>
      </w:r>
      <w:r w:rsidR="009F5113" w:rsidRPr="00A329EC">
        <w:rPr>
          <w:rFonts w:ascii="Bembo Std" w:eastAsia="Arial Unicode MS" w:hAnsi="Bembo Std" w:cstheme="minorHAnsi"/>
          <w:sz w:val="20"/>
          <w:szCs w:val="20"/>
        </w:rPr>
        <w:t xml:space="preserve"> si la información sobre los AVISOS PENALES es información en reserva de esa institución porque el </w:t>
      </w:r>
      <w:r w:rsidR="009F5113" w:rsidRPr="00A329EC">
        <w:rPr>
          <w:rFonts w:ascii="Bembo Std" w:eastAsia="Arial Unicode MS" w:hAnsi="Bembo Std" w:cstheme="minorHAnsi"/>
          <w:i/>
          <w:sz w:val="20"/>
          <w:szCs w:val="20"/>
        </w:rPr>
        <w:t>Art. 76 del Código Procesal Penal-CPP</w:t>
      </w:r>
      <w:r w:rsidR="009F5113" w:rsidRPr="00A329EC">
        <w:rPr>
          <w:rFonts w:ascii="Bembo Std" w:eastAsia="Arial Unicode MS" w:hAnsi="Bembo Std" w:cstheme="minorHAnsi"/>
          <w:sz w:val="20"/>
          <w:szCs w:val="20"/>
        </w:rPr>
        <w:t xml:space="preserve"> dice que </w:t>
      </w:r>
      <w:r w:rsidR="009F5113" w:rsidRPr="00A329EC">
        <w:rPr>
          <w:rFonts w:ascii="Bembo Std" w:hAnsi="Bembo Std" w:cs="Times-Roman"/>
          <w:color w:val="000000"/>
          <w:sz w:val="20"/>
          <w:szCs w:val="20"/>
          <w:lang w:val="x-none"/>
        </w:rPr>
        <w:t>las diligencias de investigación serán</w:t>
      </w:r>
      <w:r w:rsidR="009F5113" w:rsidRPr="00A329EC">
        <w:rPr>
          <w:rFonts w:ascii="Bembo Std" w:hAnsi="Bembo Std" w:cs="Times-Roman"/>
          <w:color w:val="000000"/>
          <w:sz w:val="20"/>
          <w:szCs w:val="20"/>
        </w:rPr>
        <w:t xml:space="preserve"> </w:t>
      </w:r>
      <w:r w:rsidR="009F5113" w:rsidRPr="00A329EC">
        <w:rPr>
          <w:rFonts w:ascii="Bembo Std" w:hAnsi="Bembo Std" w:cs="Times-Italic"/>
          <w:color w:val="000000"/>
          <w:sz w:val="20"/>
          <w:szCs w:val="20"/>
          <w:lang w:val="x-none"/>
        </w:rPr>
        <w:t xml:space="preserve">reservadas </w:t>
      </w:r>
      <w:r w:rsidR="009F5113" w:rsidRPr="00A329EC">
        <w:rPr>
          <w:rFonts w:ascii="Bembo Std" w:hAnsi="Bembo Std" w:cs="Times-Roman"/>
          <w:color w:val="000000"/>
          <w:sz w:val="20"/>
          <w:szCs w:val="20"/>
          <w:lang w:val="x-none"/>
        </w:rPr>
        <w:t>y solo las partes tendrán acceso a ellas, o las personas que lo soliciten y estén facultados</w:t>
      </w:r>
      <w:r w:rsidR="009F5113" w:rsidRPr="00A329EC">
        <w:rPr>
          <w:rFonts w:ascii="Bembo Std" w:hAnsi="Bembo Std" w:cs="Times-Roman"/>
          <w:color w:val="000000"/>
          <w:sz w:val="20"/>
          <w:szCs w:val="20"/>
        </w:rPr>
        <w:t xml:space="preserve"> </w:t>
      </w:r>
      <w:r w:rsidR="009F5113" w:rsidRPr="00A329EC">
        <w:rPr>
          <w:rFonts w:ascii="Bembo Std" w:hAnsi="Bembo Std" w:cs="Times-Roman"/>
          <w:color w:val="000000"/>
          <w:sz w:val="20"/>
          <w:szCs w:val="20"/>
          <w:lang w:val="x-none"/>
        </w:rPr>
        <w:t>para intervenir en el proceso</w:t>
      </w:r>
      <w:r w:rsidR="003206ED" w:rsidRPr="00A329EC">
        <w:rPr>
          <w:rFonts w:ascii="Bembo Std" w:hAnsi="Bembo Std" w:cs="Times-Roman"/>
          <w:color w:val="000000"/>
          <w:sz w:val="20"/>
          <w:szCs w:val="20"/>
        </w:rPr>
        <w:t>;</w:t>
      </w:r>
    </w:p>
    <w:p w:rsidR="003206ED" w:rsidRPr="00A329EC" w:rsidRDefault="003206ED" w:rsidP="003206ED">
      <w:pPr>
        <w:pStyle w:val="Prrafodelista"/>
        <w:rPr>
          <w:rFonts w:ascii="Bembo Std" w:hAnsi="Bembo Std" w:cs="Times-Roman"/>
          <w:color w:val="000000"/>
          <w:sz w:val="14"/>
          <w:szCs w:val="20"/>
        </w:rPr>
      </w:pPr>
    </w:p>
    <w:p w:rsidR="00DE2755" w:rsidRPr="00A329EC" w:rsidRDefault="003206ED" w:rsidP="003206ED">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hAnsi="Bembo Std" w:cs="Times-Roman"/>
          <w:color w:val="000000"/>
          <w:sz w:val="20"/>
          <w:szCs w:val="20"/>
        </w:rPr>
        <w:t>L</w:t>
      </w:r>
      <w:r w:rsidR="0095526E" w:rsidRPr="00A329EC">
        <w:rPr>
          <w:rFonts w:ascii="Bembo Std" w:hAnsi="Bembo Std" w:cs="Times-Roman"/>
          <w:color w:val="000000"/>
          <w:sz w:val="20"/>
          <w:szCs w:val="20"/>
        </w:rPr>
        <w:t>a FGR respond</w:t>
      </w:r>
      <w:r w:rsidRPr="00A329EC">
        <w:rPr>
          <w:rFonts w:ascii="Bembo Std" w:hAnsi="Bembo Std" w:cs="Times-Roman"/>
          <w:color w:val="000000"/>
          <w:sz w:val="20"/>
          <w:szCs w:val="20"/>
        </w:rPr>
        <w:t xml:space="preserve">ió a la consulta </w:t>
      </w:r>
      <w:r w:rsidR="0095526E" w:rsidRPr="00A329EC">
        <w:rPr>
          <w:rFonts w:ascii="Bembo Std" w:hAnsi="Bembo Std" w:cs="Times-Roman"/>
          <w:color w:val="000000"/>
          <w:sz w:val="20"/>
          <w:szCs w:val="20"/>
        </w:rPr>
        <w:t>realizada por la suscrita</w:t>
      </w:r>
      <w:r w:rsidRPr="00A329EC">
        <w:rPr>
          <w:rFonts w:ascii="Bembo Std" w:hAnsi="Bembo Std" w:cs="Times-Roman"/>
          <w:color w:val="000000"/>
          <w:sz w:val="20"/>
          <w:szCs w:val="20"/>
        </w:rPr>
        <w:t xml:space="preserve">, quien coincide con el criterio anterior: </w:t>
      </w:r>
    </w:p>
    <w:p w:rsidR="00DE2755" w:rsidRPr="00A329EC" w:rsidRDefault="00DE2755" w:rsidP="00DE2755">
      <w:pPr>
        <w:pStyle w:val="Prrafodelista"/>
        <w:rPr>
          <w:rFonts w:ascii="Bembo Std" w:hAnsi="Bembo Std" w:cs="Times-Roman"/>
          <w:color w:val="000000"/>
          <w:sz w:val="20"/>
          <w:szCs w:val="20"/>
        </w:rPr>
      </w:pPr>
    </w:p>
    <w:p w:rsidR="0095526E" w:rsidRPr="00A329EC" w:rsidRDefault="00DE2755" w:rsidP="00DE2755">
      <w:pPr>
        <w:pStyle w:val="Prrafodelista"/>
        <w:autoSpaceDE w:val="0"/>
        <w:autoSpaceDN w:val="0"/>
        <w:adjustRightInd w:val="0"/>
        <w:snapToGrid w:val="0"/>
        <w:ind w:left="720"/>
        <w:jc w:val="both"/>
        <w:rPr>
          <w:rFonts w:ascii="Bembo Std" w:eastAsia="Arial Unicode MS" w:hAnsi="Bembo Std" w:cstheme="minorHAnsi"/>
          <w:i/>
          <w:color w:val="002060"/>
          <w:sz w:val="20"/>
          <w:szCs w:val="20"/>
        </w:rPr>
      </w:pPr>
      <w:r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 xml:space="preserve">todo documento que es presentado a la Fiscalía General de la República pasa a formar parte de un Expediente de Investigación Penal </w:t>
      </w:r>
      <w:r w:rsidR="003206ED" w:rsidRPr="00A329EC">
        <w:rPr>
          <w:rFonts w:ascii="Bembo Std" w:hAnsi="Bembo Std" w:cs="Times-Roman"/>
          <w:i/>
          <w:color w:val="002060"/>
          <w:sz w:val="20"/>
          <w:szCs w:val="20"/>
        </w:rPr>
        <w:t>goza de reserva en virtud de lo regulado en el</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Art. 76 del Código Procesal Penal, que literalmente dice: "Sin perjuicio de la publicidad</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de los actos del proceso penal, las diligencias de investigación serán reservadas y sólo las</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partes tendrán acceso a ellas, o las personas que lo soliciten y estén facultadas para</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intervenir en el proceso." Es por ello que, en virtud de esa disposición legal y además</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de lo establecido en el artículo 19 literal "f' de la Ley de Acceso a la Información Pública,</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se tomó a bien incluir en el índice de información reservada, los expedientes de</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investigación que posee la institución, el cual puede ser consultado en el Portal de</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Transparencia de esta Fiscalía, estableciéndose en el numeral 1 del mismo, que la</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información relacionada con los expedientes en investigación e instrucción está</w:t>
      </w:r>
      <w:r w:rsidR="003206ED" w:rsidRPr="00A329EC">
        <w:rPr>
          <w:rFonts w:ascii="Bembo Std" w:hAnsi="Bembo Std" w:cs="Times-Roman"/>
          <w:i/>
          <w:color w:val="002060"/>
          <w:sz w:val="20"/>
          <w:szCs w:val="20"/>
        </w:rPr>
        <w:t xml:space="preserve"> </w:t>
      </w:r>
      <w:r w:rsidR="003206ED" w:rsidRPr="00A329EC">
        <w:rPr>
          <w:rFonts w:ascii="Bembo Std" w:hAnsi="Bembo Std" w:cs="Times-Roman"/>
          <w:i/>
          <w:color w:val="002060"/>
          <w:sz w:val="20"/>
          <w:szCs w:val="20"/>
        </w:rPr>
        <w:t>clasificada como reservada</w:t>
      </w:r>
      <w:r w:rsidRPr="00A329EC">
        <w:rPr>
          <w:rFonts w:ascii="Bembo Std" w:hAnsi="Bembo Std" w:cs="Times-Roman"/>
          <w:i/>
          <w:color w:val="002060"/>
          <w:sz w:val="20"/>
          <w:szCs w:val="20"/>
        </w:rPr>
        <w:t>””</w:t>
      </w:r>
      <w:r w:rsidR="0095526E" w:rsidRPr="00A329EC">
        <w:rPr>
          <w:rFonts w:ascii="Bembo Std" w:hAnsi="Bembo Std" w:cs="Times-Roman"/>
          <w:i/>
          <w:color w:val="002060"/>
          <w:sz w:val="20"/>
          <w:szCs w:val="20"/>
        </w:rPr>
        <w:t>;</w:t>
      </w:r>
    </w:p>
    <w:p w:rsidR="00DE2755" w:rsidRPr="00A329EC" w:rsidRDefault="00DE2755" w:rsidP="00DE2755">
      <w:pPr>
        <w:pStyle w:val="Prrafodelista"/>
        <w:rPr>
          <w:rFonts w:ascii="Bembo Std" w:eastAsia="Arial Unicode MS" w:hAnsi="Bembo Std" w:cstheme="minorHAnsi"/>
          <w:sz w:val="14"/>
          <w:szCs w:val="20"/>
        </w:rPr>
      </w:pPr>
    </w:p>
    <w:p w:rsidR="00DE2755" w:rsidRPr="00A329EC" w:rsidRDefault="00DE2755" w:rsidP="003206ED">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En ese orden la FGR agrega que es válido orientar al solicitante a que se presente a las oficinas de la Fiscalía General de la República ubicadas en el Edificio La Sultana; las partes que tengan un interés legal, para tener acceso información contenida en Expedientes de Investigación, deben avocarse a la sede fiscal donde se está tramitando el mismo y hacer uso de los canales establecidos por esta intuición, para que verifique su calidad dentro del expediente, o en todo caso se acredite su interés legítimo, previo a darle acceso a la información;</w:t>
      </w:r>
    </w:p>
    <w:p w:rsidR="0095526E" w:rsidRPr="00A329EC" w:rsidRDefault="0095526E" w:rsidP="0095526E">
      <w:pPr>
        <w:pStyle w:val="Prrafodelista"/>
        <w:rPr>
          <w:rFonts w:ascii="Bembo Std" w:eastAsia="Arial Unicode MS" w:hAnsi="Bembo Std" w:cstheme="minorHAnsi"/>
          <w:sz w:val="14"/>
          <w:szCs w:val="20"/>
        </w:rPr>
      </w:pPr>
    </w:p>
    <w:p w:rsidR="009F5113" w:rsidRPr="00A329EC" w:rsidRDefault="00DE2755" w:rsidP="009F5113">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A329EC">
        <w:rPr>
          <w:rFonts w:ascii="Bembo Std" w:eastAsia="Arial Unicode MS" w:hAnsi="Bembo Std" w:cstheme="minorHAnsi"/>
          <w:sz w:val="20"/>
          <w:szCs w:val="20"/>
        </w:rPr>
        <w:t>En ese orden de ideas,</w:t>
      </w:r>
      <w:r w:rsidR="009F5113" w:rsidRPr="00A329EC">
        <w:rPr>
          <w:rFonts w:ascii="Bembo Std" w:eastAsia="Arial Unicode MS" w:hAnsi="Bembo Std" w:cstheme="minorHAnsi"/>
          <w:sz w:val="20"/>
          <w:szCs w:val="20"/>
        </w:rPr>
        <w:t xml:space="preserve"> revisando las resoluciones del Instituto de Acceso a la Información Pública sobre </w:t>
      </w:r>
      <w:r w:rsidR="00514340" w:rsidRPr="00A329EC">
        <w:rPr>
          <w:rFonts w:ascii="Bembo Std" w:eastAsia="Arial Unicode MS" w:hAnsi="Bembo Std" w:cstheme="minorHAnsi"/>
          <w:sz w:val="20"/>
          <w:szCs w:val="20"/>
        </w:rPr>
        <w:t>casos como el que atañen a esta solicitud, específicamente la NUE 74-A-ADP-2019 del 19 de agosto de 2019, se encontraron las siguientes criterios:</w:t>
      </w:r>
    </w:p>
    <w:p w:rsidR="00514340" w:rsidRPr="00A329EC" w:rsidRDefault="00514340" w:rsidP="00514340">
      <w:pPr>
        <w:pStyle w:val="Prrafodelista"/>
        <w:rPr>
          <w:rFonts w:ascii="Bembo Std" w:eastAsia="Arial Unicode MS" w:hAnsi="Bembo Std" w:cstheme="minorHAnsi"/>
          <w:sz w:val="14"/>
          <w:szCs w:val="20"/>
        </w:rPr>
      </w:pPr>
    </w:p>
    <w:p w:rsidR="00514340" w:rsidRPr="00A329EC" w:rsidRDefault="00514340" w:rsidP="00A329EC">
      <w:pPr>
        <w:pStyle w:val="Prrafodelista"/>
        <w:jc w:val="both"/>
        <w:rPr>
          <w:rFonts w:ascii="Bembo Std" w:eastAsia="Arial Unicode MS" w:hAnsi="Bembo Std" w:cstheme="minorHAnsi"/>
          <w:i/>
          <w:color w:val="002060"/>
          <w:sz w:val="20"/>
          <w:szCs w:val="20"/>
        </w:rPr>
      </w:pPr>
      <w:r w:rsidRPr="00A329EC">
        <w:rPr>
          <w:rFonts w:ascii="Bembo Std" w:eastAsia="Arial Unicode MS" w:hAnsi="Bembo Std" w:cstheme="minorHAnsi"/>
          <w:i/>
          <w:color w:val="002060"/>
          <w:sz w:val="20"/>
          <w:szCs w:val="20"/>
        </w:rPr>
        <w:t xml:space="preserve">“Siendo así, este Instituto advierte que las diligencias de investigación son un procedimiento penal de carácter </w:t>
      </w:r>
      <w:proofErr w:type="spellStart"/>
      <w:r w:rsidRPr="00A329EC">
        <w:rPr>
          <w:rFonts w:ascii="Bembo Std" w:eastAsia="Arial Unicode MS" w:hAnsi="Bembo Std" w:cstheme="minorHAnsi"/>
          <w:i/>
          <w:color w:val="002060"/>
          <w:sz w:val="20"/>
          <w:szCs w:val="20"/>
        </w:rPr>
        <w:t>preprocesal</w:t>
      </w:r>
      <w:proofErr w:type="spellEnd"/>
      <w:r w:rsidRPr="00A329EC">
        <w:rPr>
          <w:rFonts w:ascii="Bembo Std" w:eastAsia="Arial Unicode MS" w:hAnsi="Bembo Std" w:cstheme="minorHAnsi"/>
          <w:i/>
          <w:color w:val="002060"/>
          <w:sz w:val="20"/>
          <w:szCs w:val="20"/>
        </w:rPr>
        <w:t xml:space="preserve"> a disposición de la FGR para coadyuvar con su labor de dirigir la investigación del delito y cuya finalidad es esclarecer los hechos que constituyen su objeto, de conformidad con lo dispuesto en el Art. 193 numerales 3 y 4 de la </w:t>
      </w:r>
      <w:proofErr w:type="spellStart"/>
      <w:r w:rsidRPr="00A329EC">
        <w:rPr>
          <w:rFonts w:ascii="Bembo Std" w:eastAsia="Arial Unicode MS" w:hAnsi="Bembo Std" w:cstheme="minorHAnsi"/>
          <w:i/>
          <w:color w:val="002060"/>
          <w:sz w:val="20"/>
          <w:szCs w:val="20"/>
        </w:rPr>
        <w:t>Cn</w:t>
      </w:r>
      <w:proofErr w:type="spellEnd"/>
      <w:r w:rsidRPr="00A329EC">
        <w:rPr>
          <w:rFonts w:ascii="Bembo Std" w:eastAsia="Arial Unicode MS" w:hAnsi="Bembo Std" w:cstheme="minorHAnsi"/>
          <w:i/>
          <w:color w:val="002060"/>
          <w:sz w:val="20"/>
          <w:szCs w:val="20"/>
        </w:rPr>
        <w:t>. en relación con los Arts. 270, 272 del CPP y 18 literal d) de la Ley Orgánica de la FGR.</w:t>
      </w:r>
    </w:p>
    <w:p w:rsidR="00514340" w:rsidRPr="00A329EC" w:rsidRDefault="00514340" w:rsidP="00A329EC">
      <w:pPr>
        <w:pStyle w:val="Prrafodelista"/>
        <w:jc w:val="both"/>
        <w:rPr>
          <w:rFonts w:ascii="Bembo Std" w:eastAsia="Arial Unicode MS" w:hAnsi="Bembo Std" w:cstheme="minorHAnsi"/>
          <w:i/>
          <w:color w:val="002060"/>
          <w:sz w:val="20"/>
          <w:szCs w:val="20"/>
        </w:rPr>
      </w:pPr>
    </w:p>
    <w:p w:rsidR="00514340" w:rsidRPr="00A329EC" w:rsidRDefault="00514340" w:rsidP="00A329EC">
      <w:pPr>
        <w:pStyle w:val="Prrafodelista"/>
        <w:jc w:val="both"/>
        <w:rPr>
          <w:rFonts w:ascii="Bembo Std" w:eastAsia="Arial Unicode MS" w:hAnsi="Bembo Std" w:cstheme="minorHAnsi"/>
          <w:i/>
          <w:color w:val="002060"/>
          <w:sz w:val="20"/>
          <w:szCs w:val="20"/>
        </w:rPr>
      </w:pPr>
      <w:r w:rsidRPr="00A329EC">
        <w:rPr>
          <w:rFonts w:ascii="Bembo Std" w:eastAsia="Arial Unicode MS" w:hAnsi="Bembo Std" w:cstheme="minorHAnsi"/>
          <w:i/>
          <w:color w:val="002060"/>
          <w:sz w:val="20"/>
          <w:szCs w:val="20"/>
        </w:rPr>
        <w:t>Bajo esa línea, la LAIP en el Art. 110, ha establecido algunas excepciones de leyes que continuaran en vigencia, aunque contengan normas que podrían contrariarla, entre ellas, se encuentra en la letra f., las normas contenidas en leyes procesales, en cuanto al acceso a expedientes durante el periodo de su tramitación, así como las destinadas a preservar la intimidad de las personas o la identidad de menores de edad en materia procesal de familia, violencia intrafamiliar o de menores</w:t>
      </w:r>
      <w:proofErr w:type="gramStart"/>
      <w:r w:rsidRPr="00A329EC">
        <w:rPr>
          <w:rFonts w:ascii="Bembo Std" w:eastAsia="Arial Unicode MS" w:hAnsi="Bembo Std" w:cstheme="minorHAnsi"/>
          <w:i/>
          <w:color w:val="002060"/>
          <w:sz w:val="20"/>
          <w:szCs w:val="20"/>
        </w:rPr>
        <w:t>..</w:t>
      </w:r>
      <w:proofErr w:type="gramEnd"/>
    </w:p>
    <w:p w:rsidR="00514340" w:rsidRPr="00A329EC" w:rsidRDefault="00514340" w:rsidP="00A329EC">
      <w:pPr>
        <w:pStyle w:val="Prrafodelista"/>
        <w:jc w:val="both"/>
        <w:rPr>
          <w:rFonts w:ascii="Bembo Std" w:eastAsia="Arial Unicode MS" w:hAnsi="Bembo Std" w:cstheme="minorHAnsi"/>
          <w:i/>
          <w:color w:val="002060"/>
          <w:sz w:val="14"/>
          <w:szCs w:val="20"/>
        </w:rPr>
      </w:pPr>
    </w:p>
    <w:p w:rsidR="00514340" w:rsidRPr="00A329EC" w:rsidRDefault="00514340" w:rsidP="00A329EC">
      <w:pPr>
        <w:pStyle w:val="Prrafodelista"/>
        <w:autoSpaceDE w:val="0"/>
        <w:autoSpaceDN w:val="0"/>
        <w:adjustRightInd w:val="0"/>
        <w:snapToGrid w:val="0"/>
        <w:ind w:left="720"/>
        <w:jc w:val="both"/>
        <w:rPr>
          <w:rFonts w:ascii="Bembo Std" w:eastAsia="Arial Unicode MS" w:hAnsi="Bembo Std" w:cstheme="minorHAnsi"/>
          <w:i/>
          <w:color w:val="002060"/>
          <w:sz w:val="20"/>
          <w:szCs w:val="20"/>
        </w:rPr>
      </w:pPr>
      <w:r w:rsidRPr="00A329EC">
        <w:rPr>
          <w:rFonts w:ascii="Bembo Std" w:eastAsia="Arial Unicode MS" w:hAnsi="Bembo Std" w:cstheme="minorHAnsi"/>
          <w:i/>
          <w:color w:val="002060"/>
          <w:sz w:val="20"/>
          <w:szCs w:val="20"/>
        </w:rPr>
        <w:t>Por consiguiente, en el caso bajo referencia NUE I-ADP-2017 el IAIP resolvió que "estando las diligencias de investigación fiscal ligadas al proceso penal, el régimen jurídico para ejercer el acceso a los datos personales contenidos en ellas, y otros derechos enmarcados en la autodeterminación informativa no es la LAIP, sino el CPP, como parte instrumental de los principios de contradicción, proporcionalidad y defensa; esto lo confirman los Arts. 80 y 270 parte final, en donde este último establece que es el juez el competente para dirimir la discrepancia, en los casos en el que el fiscal mediante resolución fundada, decrete e</w:t>
      </w:r>
      <w:r w:rsidR="00840E07">
        <w:rPr>
          <w:rFonts w:ascii="Bembo Std" w:eastAsia="Arial Unicode MS" w:hAnsi="Bembo Std" w:cstheme="minorHAnsi"/>
          <w:i/>
          <w:color w:val="002060"/>
          <w:sz w:val="20"/>
          <w:szCs w:val="20"/>
        </w:rPr>
        <w:t>l secreto de dichas actuaciones</w:t>
      </w:r>
    </w:p>
    <w:p w:rsidR="0095526E" w:rsidRPr="00A329EC" w:rsidRDefault="0095526E" w:rsidP="00A329EC">
      <w:pPr>
        <w:pStyle w:val="Prrafodelista"/>
        <w:autoSpaceDE w:val="0"/>
        <w:autoSpaceDN w:val="0"/>
        <w:adjustRightInd w:val="0"/>
        <w:snapToGrid w:val="0"/>
        <w:ind w:left="720"/>
        <w:jc w:val="both"/>
        <w:rPr>
          <w:rFonts w:ascii="Bembo Std" w:eastAsia="Arial Unicode MS" w:hAnsi="Bembo Std" w:cstheme="minorHAnsi"/>
          <w:i/>
          <w:color w:val="002060"/>
          <w:sz w:val="14"/>
          <w:szCs w:val="20"/>
        </w:rPr>
      </w:pPr>
    </w:p>
    <w:p w:rsidR="0095526E" w:rsidRPr="00A329EC" w:rsidRDefault="0095526E" w:rsidP="00A329EC">
      <w:pPr>
        <w:pStyle w:val="Prrafodelista"/>
        <w:autoSpaceDE w:val="0"/>
        <w:autoSpaceDN w:val="0"/>
        <w:adjustRightInd w:val="0"/>
        <w:snapToGrid w:val="0"/>
        <w:ind w:left="720"/>
        <w:jc w:val="both"/>
        <w:rPr>
          <w:rFonts w:ascii="Bembo Std" w:eastAsia="Arial Unicode MS" w:hAnsi="Bembo Std" w:cstheme="minorHAnsi"/>
          <w:i/>
          <w:color w:val="002060"/>
          <w:sz w:val="20"/>
          <w:szCs w:val="20"/>
        </w:rPr>
      </w:pPr>
      <w:r w:rsidRPr="00A329EC">
        <w:rPr>
          <w:rFonts w:ascii="Bembo Std" w:eastAsia="Arial Unicode MS" w:hAnsi="Bembo Std" w:cstheme="minorHAnsi"/>
          <w:i/>
          <w:color w:val="002060"/>
          <w:sz w:val="20"/>
          <w:szCs w:val="20"/>
        </w:rPr>
        <w:t>Por ello, se puede identificar que la información solicitada está encaminada a tener acceso al aviso que forma parte de un expediente, del cual el apelante es parte y que la FGR ya cuenta con un procedimiento interno para acceder a ello; el cual debe ser respetado</w:t>
      </w:r>
      <w:r w:rsidR="006A0A95" w:rsidRPr="00A329EC">
        <w:rPr>
          <w:rFonts w:ascii="Bembo Std" w:eastAsia="Arial Unicode MS" w:hAnsi="Bembo Std" w:cstheme="minorHAnsi"/>
          <w:i/>
          <w:color w:val="002060"/>
          <w:sz w:val="20"/>
          <w:szCs w:val="20"/>
        </w:rPr>
        <w:t>”</w:t>
      </w:r>
      <w:r w:rsidRPr="00A329EC">
        <w:rPr>
          <w:rFonts w:ascii="Bembo Std" w:eastAsia="Arial Unicode MS" w:hAnsi="Bembo Std" w:cstheme="minorHAnsi"/>
          <w:i/>
          <w:color w:val="002060"/>
          <w:sz w:val="20"/>
          <w:szCs w:val="20"/>
        </w:rPr>
        <w:t>.</w:t>
      </w:r>
    </w:p>
    <w:p w:rsidR="006F12B6" w:rsidRPr="00A329EC" w:rsidRDefault="006F12B6" w:rsidP="00514340">
      <w:pPr>
        <w:pStyle w:val="Prrafodelista"/>
        <w:autoSpaceDE w:val="0"/>
        <w:autoSpaceDN w:val="0"/>
        <w:adjustRightInd w:val="0"/>
        <w:snapToGrid w:val="0"/>
        <w:ind w:left="720"/>
        <w:jc w:val="both"/>
        <w:rPr>
          <w:rFonts w:ascii="Bembo Std" w:eastAsia="Arial Unicode MS" w:hAnsi="Bembo Std" w:cstheme="minorHAnsi"/>
          <w:sz w:val="14"/>
          <w:szCs w:val="20"/>
        </w:rPr>
      </w:pPr>
    </w:p>
    <w:p w:rsidR="0051378E" w:rsidRPr="00A329EC"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r w:rsidRPr="00A329EC">
        <w:rPr>
          <w:rFonts w:ascii="Bembo Std" w:eastAsia="Arial Unicode MS" w:hAnsi="Bembo Std" w:cstheme="minorHAnsi"/>
          <w:sz w:val="20"/>
          <w:szCs w:val="20"/>
        </w:rPr>
        <w:t>Por tanto con base a las disposiciones legales arriba citadas y los razonamientos expuestos, se RESUELVE:</w:t>
      </w:r>
    </w:p>
    <w:p w:rsidR="009E0DD0" w:rsidRPr="00A329EC" w:rsidRDefault="009E0DD0" w:rsidP="0051378E">
      <w:pPr>
        <w:tabs>
          <w:tab w:val="left" w:pos="5115"/>
        </w:tabs>
        <w:spacing w:after="0" w:line="240" w:lineRule="auto"/>
        <w:jc w:val="center"/>
        <w:rPr>
          <w:rFonts w:ascii="Bembo Std" w:eastAsia="Arial Unicode MS" w:hAnsi="Bembo Std" w:cstheme="minorHAnsi"/>
          <w:b/>
          <w:color w:val="182F7C"/>
          <w:sz w:val="14"/>
          <w:szCs w:val="20"/>
        </w:rPr>
      </w:pPr>
    </w:p>
    <w:p w:rsidR="00DE2755" w:rsidRPr="00A329EC" w:rsidRDefault="00514340" w:rsidP="00DE2755">
      <w:pPr>
        <w:pStyle w:val="Prrafodelista"/>
        <w:numPr>
          <w:ilvl w:val="0"/>
          <w:numId w:val="37"/>
        </w:numPr>
        <w:tabs>
          <w:tab w:val="left" w:pos="5115"/>
        </w:tabs>
        <w:jc w:val="both"/>
        <w:rPr>
          <w:rFonts w:ascii="Bembo Std" w:eastAsia="Arial Unicode MS" w:hAnsi="Bembo Std" w:cstheme="minorHAnsi"/>
          <w:sz w:val="20"/>
          <w:szCs w:val="20"/>
        </w:rPr>
      </w:pPr>
      <w:r w:rsidRPr="00A329EC">
        <w:rPr>
          <w:rFonts w:ascii="Bembo Std" w:eastAsia="Arial Unicode MS" w:hAnsi="Bembo Std" w:cstheme="minorHAnsi"/>
          <w:sz w:val="20"/>
          <w:szCs w:val="20"/>
        </w:rPr>
        <w:t xml:space="preserve">No entregar la información </w:t>
      </w:r>
      <w:r w:rsidR="00DE2755" w:rsidRPr="00A329EC">
        <w:rPr>
          <w:rFonts w:ascii="Bembo Std" w:eastAsia="Arial Unicode MS" w:hAnsi="Bembo Std" w:cstheme="minorHAnsi"/>
          <w:sz w:val="20"/>
          <w:szCs w:val="20"/>
        </w:rPr>
        <w:t xml:space="preserve">sobre </w:t>
      </w:r>
      <w:r w:rsidR="0095526E" w:rsidRPr="00A329EC">
        <w:rPr>
          <w:rFonts w:ascii="Bembo Std" w:eastAsia="Arial Unicode MS" w:hAnsi="Bembo Std" w:cstheme="minorHAnsi"/>
          <w:sz w:val="20"/>
          <w:szCs w:val="20"/>
        </w:rPr>
        <w:t xml:space="preserve">los </w:t>
      </w:r>
      <w:r w:rsidR="00A329EC" w:rsidRPr="00A329EC">
        <w:rPr>
          <w:rFonts w:ascii="Bembo Std" w:eastAsia="Arial Unicode MS" w:hAnsi="Bembo Std" w:cstheme="minorHAnsi"/>
          <w:b/>
          <w:color w:val="002060"/>
          <w:sz w:val="20"/>
          <w:szCs w:val="20"/>
        </w:rPr>
        <w:t>AVISOS PENALES</w:t>
      </w:r>
      <w:r w:rsidR="00A329EC" w:rsidRPr="00A329EC">
        <w:rPr>
          <w:rFonts w:ascii="Bembo Std" w:eastAsia="Arial Unicode MS" w:hAnsi="Bembo Std" w:cstheme="minorHAnsi"/>
          <w:color w:val="002060"/>
          <w:sz w:val="20"/>
          <w:szCs w:val="20"/>
        </w:rPr>
        <w:t xml:space="preserve"> </w:t>
      </w:r>
      <w:r w:rsidR="00DE2755" w:rsidRPr="00A329EC">
        <w:rPr>
          <w:rFonts w:ascii="Bembo Std" w:eastAsia="Arial Unicode MS" w:hAnsi="Bembo Std" w:cstheme="minorHAnsi"/>
          <w:sz w:val="20"/>
          <w:szCs w:val="20"/>
        </w:rPr>
        <w:t xml:space="preserve">enviados a la FGR del período 2014-2017, porque </w:t>
      </w:r>
      <w:r w:rsidRPr="00A329EC">
        <w:rPr>
          <w:rFonts w:ascii="Bembo Std" w:eastAsia="Arial Unicode MS" w:hAnsi="Bembo Std" w:cstheme="minorHAnsi"/>
          <w:sz w:val="20"/>
          <w:szCs w:val="20"/>
        </w:rPr>
        <w:t>forma</w:t>
      </w:r>
      <w:r w:rsidR="00DE2755" w:rsidRPr="00A329EC">
        <w:rPr>
          <w:rFonts w:ascii="Bembo Std" w:eastAsia="Arial Unicode MS" w:hAnsi="Bembo Std" w:cstheme="minorHAnsi"/>
          <w:sz w:val="20"/>
          <w:szCs w:val="20"/>
        </w:rPr>
        <w:t>n</w:t>
      </w:r>
      <w:r w:rsidRPr="00A329EC">
        <w:rPr>
          <w:rFonts w:ascii="Bembo Std" w:eastAsia="Arial Unicode MS" w:hAnsi="Bembo Std" w:cstheme="minorHAnsi"/>
          <w:sz w:val="20"/>
          <w:szCs w:val="20"/>
        </w:rPr>
        <w:t xml:space="preserve"> parte de la información reservada de la FGR puesto que es parte del expediente de un caso de investigación, de la cual pueden tener acceso sólo las partes</w:t>
      </w:r>
      <w:r w:rsidR="001C6E1C" w:rsidRPr="00A329EC">
        <w:rPr>
          <w:rFonts w:ascii="Bembo Std" w:eastAsia="Arial Unicode MS" w:hAnsi="Bembo Std" w:cstheme="minorHAnsi"/>
          <w:sz w:val="20"/>
          <w:szCs w:val="20"/>
        </w:rPr>
        <w:t xml:space="preserve"> en el proceso</w:t>
      </w:r>
      <w:r w:rsidR="0095526E" w:rsidRPr="00A329EC">
        <w:rPr>
          <w:rFonts w:ascii="Bembo Std" w:eastAsia="Arial Unicode MS" w:hAnsi="Bembo Std" w:cstheme="minorHAnsi"/>
          <w:sz w:val="20"/>
          <w:szCs w:val="20"/>
        </w:rPr>
        <w:t>, por lo que se orienta a la peticionaria que</w:t>
      </w:r>
      <w:r w:rsidR="0006015C" w:rsidRPr="00A329EC">
        <w:rPr>
          <w:rFonts w:ascii="Bembo Std" w:eastAsia="Arial Unicode MS" w:hAnsi="Bembo Std" w:cstheme="minorHAnsi"/>
          <w:sz w:val="20"/>
          <w:szCs w:val="20"/>
        </w:rPr>
        <w:t xml:space="preserve"> se avoque a las oficinas de</w:t>
      </w:r>
      <w:r w:rsidR="001C6E1C" w:rsidRPr="00A329EC">
        <w:rPr>
          <w:rFonts w:ascii="Bembo Std" w:eastAsia="Arial Unicode MS" w:hAnsi="Bembo Std" w:cstheme="minorHAnsi"/>
          <w:sz w:val="20"/>
          <w:szCs w:val="20"/>
        </w:rPr>
        <w:t xml:space="preserve"> la Fiscalía General de la República de El Salvador</w:t>
      </w:r>
      <w:r w:rsidR="0006015C" w:rsidRPr="00A329EC">
        <w:rPr>
          <w:rFonts w:ascii="Bembo Std" w:eastAsia="Arial Unicode MS" w:hAnsi="Bembo Std" w:cstheme="minorHAnsi"/>
          <w:sz w:val="20"/>
          <w:szCs w:val="20"/>
        </w:rPr>
        <w:t>, o llame a los teléfonos 2593-7000 y 2593-7001</w:t>
      </w:r>
      <w:r w:rsidR="001C6E1C" w:rsidRPr="00A329EC">
        <w:rPr>
          <w:rFonts w:ascii="Bembo Std" w:eastAsia="Arial Unicode MS" w:hAnsi="Bembo Std" w:cstheme="minorHAnsi"/>
          <w:sz w:val="20"/>
          <w:szCs w:val="20"/>
        </w:rPr>
        <w:t>.</w:t>
      </w:r>
    </w:p>
    <w:p w:rsidR="00DE2755" w:rsidRPr="00A329EC" w:rsidRDefault="00DE2755" w:rsidP="00DE2755">
      <w:pPr>
        <w:pStyle w:val="Prrafodelista"/>
        <w:tabs>
          <w:tab w:val="left" w:pos="5115"/>
        </w:tabs>
        <w:ind w:left="720"/>
        <w:jc w:val="both"/>
        <w:rPr>
          <w:rFonts w:ascii="Bembo Std" w:eastAsia="Arial Unicode MS" w:hAnsi="Bembo Std" w:cstheme="minorHAnsi"/>
          <w:sz w:val="14"/>
          <w:szCs w:val="20"/>
        </w:rPr>
      </w:pPr>
    </w:p>
    <w:p w:rsidR="00DE2755" w:rsidRPr="00A329EC" w:rsidRDefault="00DE2755" w:rsidP="00DE2755">
      <w:pPr>
        <w:pStyle w:val="Prrafodelista"/>
        <w:numPr>
          <w:ilvl w:val="0"/>
          <w:numId w:val="37"/>
        </w:numPr>
        <w:tabs>
          <w:tab w:val="left" w:pos="5115"/>
        </w:tabs>
        <w:jc w:val="both"/>
        <w:rPr>
          <w:rFonts w:ascii="Bembo Std" w:eastAsia="Arial Unicode MS" w:hAnsi="Bembo Std" w:cstheme="minorHAnsi"/>
          <w:sz w:val="20"/>
          <w:szCs w:val="20"/>
        </w:rPr>
      </w:pPr>
      <w:r w:rsidRPr="00A329EC">
        <w:rPr>
          <w:rFonts w:ascii="Bembo Std" w:eastAsia="Arial Unicode MS" w:hAnsi="Bembo Std" w:cstheme="minorHAnsi"/>
          <w:sz w:val="20"/>
          <w:szCs w:val="20"/>
        </w:rPr>
        <w:t xml:space="preserve">Con respecto al estado de los </w:t>
      </w:r>
      <w:r w:rsidRPr="00A329EC">
        <w:rPr>
          <w:rFonts w:ascii="Bembo Std" w:eastAsia="Arial Unicode MS" w:hAnsi="Bembo Std" w:cstheme="minorHAnsi"/>
          <w:b/>
          <w:color w:val="002060"/>
          <w:sz w:val="20"/>
          <w:szCs w:val="20"/>
        </w:rPr>
        <w:t>AVISOS PENALES</w:t>
      </w:r>
      <w:r w:rsidRPr="00A329EC">
        <w:rPr>
          <w:rFonts w:ascii="Bembo Std" w:eastAsia="Arial Unicode MS" w:hAnsi="Bembo Std" w:cstheme="minorHAnsi"/>
          <w:color w:val="002060"/>
          <w:sz w:val="20"/>
          <w:szCs w:val="20"/>
        </w:rPr>
        <w:t xml:space="preserve"> </w:t>
      </w:r>
      <w:r w:rsidRPr="00A329EC">
        <w:rPr>
          <w:rFonts w:ascii="Bembo Std" w:eastAsia="Arial Unicode MS" w:hAnsi="Bembo Std" w:cstheme="minorHAnsi"/>
          <w:sz w:val="20"/>
          <w:szCs w:val="20"/>
        </w:rPr>
        <w:t>enunciados</w:t>
      </w:r>
      <w:r w:rsidRPr="00A329EC">
        <w:rPr>
          <w:rFonts w:ascii="Bembo Std" w:eastAsia="Arial Unicode MS" w:hAnsi="Bembo Std" w:cstheme="minorHAnsi"/>
          <w:sz w:val="20"/>
          <w:szCs w:val="20"/>
        </w:rPr>
        <w:t xml:space="preserve"> en el literal b)</w:t>
      </w:r>
      <w:r w:rsidR="00A329EC" w:rsidRPr="00A329EC">
        <w:rPr>
          <w:rFonts w:ascii="Bembo Std" w:eastAsia="Arial Unicode MS" w:hAnsi="Bembo Std" w:cstheme="minorHAnsi"/>
          <w:sz w:val="20"/>
          <w:szCs w:val="20"/>
        </w:rPr>
        <w:t xml:space="preserve"> del inciso 1 de esta resolución,</w:t>
      </w:r>
      <w:r w:rsidRPr="00A329EC">
        <w:rPr>
          <w:rFonts w:ascii="Bembo Std" w:eastAsia="Arial Unicode MS" w:hAnsi="Bembo Std" w:cstheme="minorHAnsi"/>
          <w:sz w:val="20"/>
          <w:szCs w:val="20"/>
        </w:rPr>
        <w:t xml:space="preserve"> se comunica que no se tiene conocimiento del estado de los mismos, recordando que en respuesta a solicitud de información MAG OIR N° 229-2019, de 20 de noviembre, se envió copia de 2 notas de este ministerio del año 2018 y 2019 remitidas en su oportunidad a la FGR, por medio de las cuales se solicitaba conocer el estado de los mismos, de los cuales a la fecha, no se ha obtenido respuesta.</w:t>
      </w:r>
    </w:p>
    <w:p w:rsidR="00A329EC" w:rsidRPr="00A329EC" w:rsidRDefault="00A329EC" w:rsidP="00A329EC">
      <w:pPr>
        <w:pStyle w:val="Prrafodelista"/>
        <w:rPr>
          <w:rFonts w:ascii="Bembo Std" w:eastAsia="Arial Unicode MS" w:hAnsi="Bembo Std" w:cstheme="minorHAnsi"/>
          <w:sz w:val="14"/>
          <w:szCs w:val="20"/>
        </w:rPr>
      </w:pPr>
    </w:p>
    <w:p w:rsidR="00DE2755" w:rsidRPr="00A329EC" w:rsidRDefault="00DE2755" w:rsidP="00DE2755">
      <w:pPr>
        <w:pStyle w:val="Prrafodelista"/>
        <w:numPr>
          <w:ilvl w:val="0"/>
          <w:numId w:val="37"/>
        </w:numPr>
        <w:tabs>
          <w:tab w:val="left" w:pos="5115"/>
        </w:tabs>
        <w:jc w:val="both"/>
        <w:rPr>
          <w:rFonts w:ascii="Bembo Std" w:eastAsia="Arial Unicode MS" w:hAnsi="Bembo Std" w:cstheme="minorHAnsi"/>
          <w:sz w:val="20"/>
          <w:szCs w:val="20"/>
        </w:rPr>
      </w:pPr>
      <w:r w:rsidRPr="00A329EC">
        <w:rPr>
          <w:rFonts w:ascii="Bembo Std" w:eastAsia="Arial Unicode MS" w:hAnsi="Bembo Std" w:cstheme="minorHAnsi"/>
          <w:sz w:val="20"/>
          <w:szCs w:val="20"/>
        </w:rPr>
        <w:t xml:space="preserve">Sobre los </w:t>
      </w:r>
      <w:r w:rsidRPr="00A329EC">
        <w:rPr>
          <w:rFonts w:ascii="Bembo Std" w:eastAsia="Arial Unicode MS" w:hAnsi="Bembo Std" w:cstheme="minorHAnsi"/>
          <w:b/>
          <w:i/>
          <w:color w:val="002060"/>
          <w:sz w:val="20"/>
          <w:szCs w:val="20"/>
        </w:rPr>
        <w:t>memorandos dirigidos de la DGAF a la OGA y viceversa, de junio 2014 a 31 de mayo de 2019,</w:t>
      </w:r>
      <w:r w:rsidRPr="00A329EC">
        <w:rPr>
          <w:rFonts w:ascii="Bembo Std" w:eastAsia="Arial Unicode MS" w:hAnsi="Bembo Std" w:cstheme="minorHAnsi"/>
          <w:sz w:val="20"/>
          <w:szCs w:val="20"/>
        </w:rPr>
        <w:t xml:space="preserve"> comunicamos que puede pasar a las oficinas de la OIR cuando usted lo estime conveniente, en días y horas hábiles, para que le entreguemos la información</w:t>
      </w:r>
      <w:r w:rsidR="00A329EC" w:rsidRPr="00A329EC">
        <w:rPr>
          <w:rFonts w:ascii="Bembo Std" w:eastAsia="Arial Unicode MS" w:hAnsi="Bembo Std" w:cstheme="minorHAnsi"/>
          <w:sz w:val="20"/>
          <w:szCs w:val="20"/>
        </w:rPr>
        <w:t xml:space="preserve"> contenida </w:t>
      </w:r>
      <w:r w:rsidR="00A329EC" w:rsidRPr="00A329EC">
        <w:rPr>
          <w:rFonts w:ascii="Bembo Std" w:eastAsia="Arial Unicode MS" w:hAnsi="Bembo Std" w:cstheme="minorHAnsi"/>
          <w:i/>
          <w:color w:val="002060"/>
          <w:sz w:val="20"/>
          <w:szCs w:val="20"/>
        </w:rPr>
        <w:t>en 2 carpetas con información electrónica en formato PDF seleccionable</w:t>
      </w:r>
      <w:r w:rsidR="00A329EC" w:rsidRPr="00A329EC">
        <w:rPr>
          <w:rFonts w:ascii="Bembo Std" w:eastAsia="Arial Unicode MS" w:hAnsi="Bembo Std" w:cstheme="minorHAnsi"/>
          <w:sz w:val="20"/>
          <w:szCs w:val="20"/>
        </w:rPr>
        <w:t>; no omito manifestar que algunos de esos documentos</w:t>
      </w:r>
      <w:r w:rsidRPr="00A329EC">
        <w:rPr>
          <w:rFonts w:ascii="Bembo Std" w:eastAsia="Arial Unicode MS" w:hAnsi="Bembo Std" w:cstheme="minorHAnsi"/>
          <w:sz w:val="20"/>
          <w:szCs w:val="20"/>
        </w:rPr>
        <w:t xml:space="preserve"> </w:t>
      </w:r>
      <w:r w:rsidR="00A329EC" w:rsidRPr="00A329EC">
        <w:rPr>
          <w:rFonts w:ascii="Bembo Std" w:eastAsia="Arial Unicode MS" w:hAnsi="Bembo Std" w:cstheme="minorHAnsi"/>
          <w:sz w:val="20"/>
          <w:szCs w:val="20"/>
        </w:rPr>
        <w:t xml:space="preserve">están en </w:t>
      </w:r>
      <w:r w:rsidR="00A329EC" w:rsidRPr="00A329EC">
        <w:rPr>
          <w:rFonts w:ascii="Bembo Std" w:eastAsia="Arial Unicode MS" w:hAnsi="Bembo Std" w:cstheme="minorHAnsi"/>
          <w:i/>
          <w:sz w:val="20"/>
          <w:szCs w:val="20"/>
        </w:rPr>
        <w:t>versión pública</w:t>
      </w:r>
      <w:r w:rsidR="00A329EC" w:rsidRPr="00A329EC">
        <w:rPr>
          <w:rFonts w:ascii="Bembo Std" w:eastAsia="Arial Unicode MS" w:hAnsi="Bembo Std" w:cstheme="minorHAnsi"/>
          <w:sz w:val="20"/>
          <w:szCs w:val="20"/>
        </w:rPr>
        <w:t xml:space="preserve"> porque tienen información confidencial (Art. 6, 24 y 30 de la LAIP), estas se almacenaran en una USB de su propiedad </w:t>
      </w:r>
      <w:r w:rsidRPr="00A329EC">
        <w:rPr>
          <w:rFonts w:ascii="Bembo Std" w:eastAsia="Arial Unicode MS" w:hAnsi="Bembo Std" w:cstheme="minorHAnsi"/>
          <w:sz w:val="20"/>
          <w:szCs w:val="20"/>
        </w:rPr>
        <w:t>porque los datos recolectados son numerosos.</w:t>
      </w:r>
    </w:p>
    <w:p w:rsidR="001C6E1C" w:rsidRPr="00A329EC" w:rsidRDefault="001C6E1C" w:rsidP="0006015C">
      <w:pPr>
        <w:tabs>
          <w:tab w:val="left" w:pos="5115"/>
        </w:tabs>
        <w:spacing w:after="0" w:line="240" w:lineRule="auto"/>
        <w:jc w:val="both"/>
        <w:rPr>
          <w:rFonts w:ascii="Bembo Std" w:eastAsia="Arial Unicode MS" w:hAnsi="Bembo Std" w:cstheme="minorHAnsi"/>
          <w:sz w:val="14"/>
          <w:szCs w:val="20"/>
        </w:rPr>
      </w:pPr>
    </w:p>
    <w:p w:rsidR="001C6E1C" w:rsidRPr="00A329EC" w:rsidRDefault="001C6E1C" w:rsidP="00F34665">
      <w:pPr>
        <w:pStyle w:val="Prrafodelista"/>
        <w:numPr>
          <w:ilvl w:val="0"/>
          <w:numId w:val="37"/>
        </w:numPr>
        <w:tabs>
          <w:tab w:val="left" w:pos="5115"/>
        </w:tabs>
        <w:snapToGrid w:val="0"/>
        <w:jc w:val="both"/>
        <w:rPr>
          <w:rFonts w:ascii="Bembo Std" w:eastAsia="Arial Unicode MS" w:hAnsi="Bembo Std" w:cstheme="minorHAnsi"/>
          <w:color w:val="000066"/>
          <w:sz w:val="20"/>
          <w:szCs w:val="20"/>
        </w:rPr>
      </w:pPr>
      <w:r w:rsidRPr="00A329EC">
        <w:rPr>
          <w:rFonts w:ascii="Bembo Std" w:eastAsia="Arial Unicode MS" w:hAnsi="Bembo Std" w:cstheme="minorHAnsi"/>
          <w:sz w:val="20"/>
          <w:szCs w:val="20"/>
        </w:rPr>
        <w:t>Notifíquese</w:t>
      </w:r>
    </w:p>
    <w:p w:rsidR="0095526E" w:rsidRDefault="0095526E" w:rsidP="0095526E">
      <w:pPr>
        <w:pStyle w:val="Prrafodelista"/>
        <w:tabs>
          <w:tab w:val="left" w:pos="5115"/>
        </w:tabs>
        <w:snapToGrid w:val="0"/>
        <w:ind w:left="720"/>
        <w:jc w:val="both"/>
        <w:rPr>
          <w:rFonts w:ascii="Bembo Std" w:eastAsia="Arial Unicode MS" w:hAnsi="Bembo Std" w:cstheme="minorHAnsi"/>
          <w:b/>
          <w:color w:val="000066"/>
          <w:sz w:val="20"/>
          <w:szCs w:val="20"/>
        </w:rPr>
      </w:pPr>
    </w:p>
    <w:p w:rsidR="00840E07" w:rsidRPr="0095526E" w:rsidRDefault="00840E07" w:rsidP="0095526E">
      <w:pPr>
        <w:pStyle w:val="Prrafodelista"/>
        <w:tabs>
          <w:tab w:val="left" w:pos="5115"/>
        </w:tabs>
        <w:snapToGrid w:val="0"/>
        <w:ind w:left="720"/>
        <w:jc w:val="both"/>
        <w:rPr>
          <w:rFonts w:ascii="Bembo Std" w:eastAsia="Arial Unicode MS" w:hAnsi="Bembo Std" w:cstheme="minorHAnsi"/>
          <w:b/>
          <w:color w:val="000066"/>
          <w:sz w:val="20"/>
          <w:szCs w:val="20"/>
        </w:rPr>
      </w:pPr>
    </w:p>
    <w:p w:rsidR="001A01DC" w:rsidRPr="0095526E" w:rsidRDefault="00A329EC" w:rsidP="001A01DC">
      <w:pPr>
        <w:snapToGrid w:val="0"/>
        <w:spacing w:after="0" w:line="240" w:lineRule="auto"/>
        <w:ind w:firstLine="720"/>
        <w:jc w:val="center"/>
        <w:rPr>
          <w:rFonts w:ascii="Bembo Std" w:eastAsia="Arial Unicode MS" w:hAnsi="Bembo Std" w:cstheme="minorHAnsi"/>
          <w:b/>
          <w:color w:val="000066"/>
          <w:sz w:val="18"/>
          <w:szCs w:val="20"/>
        </w:rPr>
      </w:pPr>
      <w:r>
        <w:rPr>
          <w:rFonts w:ascii="Bembo Std" w:eastAsia="Arial Unicode MS" w:hAnsi="Bembo Std" w:cstheme="minorHAnsi"/>
          <w:b/>
          <w:color w:val="000066"/>
          <w:sz w:val="18"/>
          <w:szCs w:val="20"/>
        </w:rPr>
        <w:t xml:space="preserve">Lic. </w:t>
      </w:r>
      <w:r w:rsidR="001A01DC" w:rsidRPr="0095526E">
        <w:rPr>
          <w:rFonts w:ascii="Bembo Std" w:eastAsia="Arial Unicode MS" w:hAnsi="Bembo Std" w:cstheme="minorHAnsi"/>
          <w:b/>
          <w:color w:val="000066"/>
          <w:sz w:val="18"/>
          <w:szCs w:val="20"/>
        </w:rPr>
        <w:t xml:space="preserve">Ana Patricia Sánchez de Cruz, </w:t>
      </w:r>
    </w:p>
    <w:p w:rsidR="00175178" w:rsidRPr="001C6E1C" w:rsidRDefault="001A01DC" w:rsidP="00190F49">
      <w:pPr>
        <w:snapToGrid w:val="0"/>
        <w:spacing w:after="0" w:line="240" w:lineRule="auto"/>
        <w:ind w:firstLine="720"/>
        <w:jc w:val="center"/>
        <w:rPr>
          <w:sz w:val="20"/>
          <w:szCs w:val="20"/>
        </w:rPr>
      </w:pPr>
      <w:r w:rsidRPr="0095526E">
        <w:rPr>
          <w:rFonts w:ascii="Bembo Std" w:eastAsia="Arial Unicode MS" w:hAnsi="Bembo Std" w:cstheme="minorHAnsi"/>
          <w:b/>
          <w:color w:val="000066"/>
          <w:sz w:val="18"/>
          <w:szCs w:val="20"/>
        </w:rPr>
        <w:t>Oficial de Información MAG</w:t>
      </w:r>
    </w:p>
    <w:p w:rsidR="00175178" w:rsidRPr="001C6E1C" w:rsidRDefault="00175178" w:rsidP="00175178">
      <w:pPr>
        <w:snapToGrid w:val="0"/>
        <w:spacing w:after="0" w:line="240" w:lineRule="auto"/>
        <w:ind w:firstLine="720"/>
        <w:jc w:val="right"/>
        <w:rPr>
          <w:sz w:val="20"/>
          <w:szCs w:val="20"/>
        </w:rPr>
        <w:sectPr w:rsidR="00175178" w:rsidRPr="001C6E1C"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BD2" w:rsidRDefault="008C3BD2" w:rsidP="00D6001B">
      <w:pPr>
        <w:spacing w:after="0" w:line="240" w:lineRule="auto"/>
      </w:pPr>
      <w:r>
        <w:separator/>
      </w:r>
    </w:p>
  </w:endnote>
  <w:endnote w:type="continuationSeparator" w:id="0">
    <w:p w:rsidR="008C3BD2" w:rsidRDefault="008C3BD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83E12" w:rsidRPr="00783E12">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83E12" w:rsidRPr="00783E12">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BD2" w:rsidRDefault="008C3BD2" w:rsidP="00D6001B">
      <w:pPr>
        <w:spacing w:after="0" w:line="240" w:lineRule="auto"/>
      </w:pPr>
      <w:r>
        <w:separator/>
      </w:r>
    </w:p>
  </w:footnote>
  <w:footnote w:type="continuationSeparator" w:id="0">
    <w:p w:rsidR="008C3BD2" w:rsidRDefault="008C3BD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C3B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C3BD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4524CA65" wp14:editId="2F755025">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C3B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C3B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C3BD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3EC2982"/>
    <w:multiLevelType w:val="hybridMultilevel"/>
    <w:tmpl w:val="2C6EF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70DE4894"/>
    <w:multiLevelType w:val="hybridMultilevel"/>
    <w:tmpl w:val="47B2DBB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4">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5">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7"/>
  </w:num>
  <w:num w:numId="4">
    <w:abstractNumId w:val="25"/>
  </w:num>
  <w:num w:numId="5">
    <w:abstractNumId w:val="5"/>
  </w:num>
  <w:num w:numId="6">
    <w:abstractNumId w:val="36"/>
  </w:num>
  <w:num w:numId="7">
    <w:abstractNumId w:val="22"/>
  </w:num>
  <w:num w:numId="8">
    <w:abstractNumId w:val="26"/>
  </w:num>
  <w:num w:numId="9">
    <w:abstractNumId w:val="33"/>
  </w:num>
  <w:num w:numId="10">
    <w:abstractNumId w:val="13"/>
  </w:num>
  <w:num w:numId="11">
    <w:abstractNumId w:val="14"/>
  </w:num>
  <w:num w:numId="12">
    <w:abstractNumId w:val="31"/>
  </w:num>
  <w:num w:numId="13">
    <w:abstractNumId w:val="0"/>
  </w:num>
  <w:num w:numId="14">
    <w:abstractNumId w:val="21"/>
  </w:num>
  <w:num w:numId="15">
    <w:abstractNumId w:val="2"/>
  </w:num>
  <w:num w:numId="16">
    <w:abstractNumId w:val="11"/>
  </w:num>
  <w:num w:numId="17">
    <w:abstractNumId w:val="20"/>
  </w:num>
  <w:num w:numId="18">
    <w:abstractNumId w:val="37"/>
  </w:num>
  <w:num w:numId="19">
    <w:abstractNumId w:val="35"/>
  </w:num>
  <w:num w:numId="20">
    <w:abstractNumId w:val="4"/>
  </w:num>
  <w:num w:numId="21">
    <w:abstractNumId w:val="18"/>
  </w:num>
  <w:num w:numId="22">
    <w:abstractNumId w:val="30"/>
  </w:num>
  <w:num w:numId="23">
    <w:abstractNumId w:val="27"/>
  </w:num>
  <w:num w:numId="24">
    <w:abstractNumId w:val="32"/>
  </w:num>
  <w:num w:numId="25">
    <w:abstractNumId w:val="8"/>
  </w:num>
  <w:num w:numId="26">
    <w:abstractNumId w:val="23"/>
  </w:num>
  <w:num w:numId="27">
    <w:abstractNumId w:val="17"/>
  </w:num>
  <w:num w:numId="28">
    <w:abstractNumId w:val="16"/>
  </w:num>
  <w:num w:numId="29">
    <w:abstractNumId w:val="28"/>
  </w:num>
  <w:num w:numId="30">
    <w:abstractNumId w:val="19"/>
  </w:num>
  <w:num w:numId="31">
    <w:abstractNumId w:val="3"/>
  </w:num>
  <w:num w:numId="32">
    <w:abstractNumId w:val="10"/>
  </w:num>
  <w:num w:numId="33">
    <w:abstractNumId w:val="6"/>
  </w:num>
  <w:num w:numId="34">
    <w:abstractNumId w:val="34"/>
  </w:num>
  <w:num w:numId="35">
    <w:abstractNumId w:val="9"/>
  </w:num>
  <w:num w:numId="36">
    <w:abstractNumId w:val="12"/>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6015C"/>
    <w:rsid w:val="0007036B"/>
    <w:rsid w:val="0007610D"/>
    <w:rsid w:val="00094A3E"/>
    <w:rsid w:val="000B0B6F"/>
    <w:rsid w:val="001013A3"/>
    <w:rsid w:val="0010220A"/>
    <w:rsid w:val="00103DA0"/>
    <w:rsid w:val="00111163"/>
    <w:rsid w:val="00113551"/>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205DDE"/>
    <w:rsid w:val="00224D39"/>
    <w:rsid w:val="0024614E"/>
    <w:rsid w:val="0027189C"/>
    <w:rsid w:val="00277426"/>
    <w:rsid w:val="00287F7B"/>
    <w:rsid w:val="00294A8F"/>
    <w:rsid w:val="002A363E"/>
    <w:rsid w:val="002A4867"/>
    <w:rsid w:val="003206ED"/>
    <w:rsid w:val="00333CC9"/>
    <w:rsid w:val="00335FCE"/>
    <w:rsid w:val="00346B5D"/>
    <w:rsid w:val="0036479C"/>
    <w:rsid w:val="003676C7"/>
    <w:rsid w:val="003718F6"/>
    <w:rsid w:val="00372365"/>
    <w:rsid w:val="00373214"/>
    <w:rsid w:val="00375212"/>
    <w:rsid w:val="003844C4"/>
    <w:rsid w:val="003869BB"/>
    <w:rsid w:val="00394722"/>
    <w:rsid w:val="003C60A2"/>
    <w:rsid w:val="003E30DE"/>
    <w:rsid w:val="003E43B0"/>
    <w:rsid w:val="003F0DF5"/>
    <w:rsid w:val="00441DF1"/>
    <w:rsid w:val="00463AF5"/>
    <w:rsid w:val="004643BD"/>
    <w:rsid w:val="004777D2"/>
    <w:rsid w:val="00490F32"/>
    <w:rsid w:val="004A0C31"/>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647B3D"/>
    <w:rsid w:val="006503E5"/>
    <w:rsid w:val="00692C39"/>
    <w:rsid w:val="006A0A95"/>
    <w:rsid w:val="006A6450"/>
    <w:rsid w:val="006D7549"/>
    <w:rsid w:val="006F12B6"/>
    <w:rsid w:val="0070531A"/>
    <w:rsid w:val="0072747F"/>
    <w:rsid w:val="007504AB"/>
    <w:rsid w:val="00783E12"/>
    <w:rsid w:val="00783E6E"/>
    <w:rsid w:val="00784C57"/>
    <w:rsid w:val="00785B01"/>
    <w:rsid w:val="007A6980"/>
    <w:rsid w:val="0082513E"/>
    <w:rsid w:val="00833695"/>
    <w:rsid w:val="00840E07"/>
    <w:rsid w:val="00863531"/>
    <w:rsid w:val="0086376D"/>
    <w:rsid w:val="00876728"/>
    <w:rsid w:val="00884714"/>
    <w:rsid w:val="008872B6"/>
    <w:rsid w:val="008A1417"/>
    <w:rsid w:val="008A76C5"/>
    <w:rsid w:val="008C3BD2"/>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6766"/>
    <w:rsid w:val="009E0DD0"/>
    <w:rsid w:val="009F5113"/>
    <w:rsid w:val="00A1063E"/>
    <w:rsid w:val="00A30EBB"/>
    <w:rsid w:val="00A329EC"/>
    <w:rsid w:val="00A47365"/>
    <w:rsid w:val="00A5590E"/>
    <w:rsid w:val="00A57939"/>
    <w:rsid w:val="00A7254A"/>
    <w:rsid w:val="00A72AD5"/>
    <w:rsid w:val="00B00199"/>
    <w:rsid w:val="00B10D42"/>
    <w:rsid w:val="00B1149A"/>
    <w:rsid w:val="00B16376"/>
    <w:rsid w:val="00B1774C"/>
    <w:rsid w:val="00B27A1D"/>
    <w:rsid w:val="00B36B35"/>
    <w:rsid w:val="00B373C8"/>
    <w:rsid w:val="00B453E0"/>
    <w:rsid w:val="00B85898"/>
    <w:rsid w:val="00BA4CE9"/>
    <w:rsid w:val="00BF6CA5"/>
    <w:rsid w:val="00C2313A"/>
    <w:rsid w:val="00C2742A"/>
    <w:rsid w:val="00C35CD3"/>
    <w:rsid w:val="00C44810"/>
    <w:rsid w:val="00C700CA"/>
    <w:rsid w:val="00C8535A"/>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236C"/>
    <w:rsid w:val="00DB6286"/>
    <w:rsid w:val="00DC3A60"/>
    <w:rsid w:val="00DE0B4E"/>
    <w:rsid w:val="00DE2755"/>
    <w:rsid w:val="00E014EC"/>
    <w:rsid w:val="00E27D56"/>
    <w:rsid w:val="00E702C8"/>
    <w:rsid w:val="00E9172A"/>
    <w:rsid w:val="00ED2600"/>
    <w:rsid w:val="00F07FC2"/>
    <w:rsid w:val="00F17B3C"/>
    <w:rsid w:val="00F2455E"/>
    <w:rsid w:val="00F34665"/>
    <w:rsid w:val="00F67301"/>
    <w:rsid w:val="00F8235C"/>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1552</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2019-11-22T22:27:00Z</cp:lastPrinted>
  <dcterms:created xsi:type="dcterms:W3CDTF">2019-11-22T22:30:00Z</dcterms:created>
  <dcterms:modified xsi:type="dcterms:W3CDTF">2019-11-22T22:32:00Z</dcterms:modified>
</cp:coreProperties>
</file>