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23" w:rsidRDefault="00622823" w:rsidP="00A94655">
      <w:pPr>
        <w:widowControl/>
        <w:jc w:val="center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</w:p>
    <w:p w:rsidR="00622823" w:rsidRPr="00622823" w:rsidRDefault="00622823" w:rsidP="00622823">
      <w:pPr>
        <w:keepNext/>
        <w:keepLines/>
        <w:widowControl/>
        <w:jc w:val="center"/>
        <w:outlineLvl w:val="0"/>
        <w:rPr>
          <w:rFonts w:asciiTheme="minorHAnsi" w:hAnsiTheme="minorHAnsi" w:cstheme="majorBidi"/>
          <w:b/>
          <w:bCs/>
          <w:color w:val="C00000"/>
          <w:sz w:val="18"/>
          <w:szCs w:val="28"/>
          <w:lang w:val="es-SV" w:eastAsia="en-US" w:bidi="ar-SA"/>
        </w:rPr>
      </w:pPr>
      <w:r w:rsidRPr="00622823">
        <w:rPr>
          <w:rFonts w:asciiTheme="minorHAnsi" w:hAnsiTheme="minorHAnsi" w:cstheme="majorBidi"/>
          <w:b/>
          <w:bCs/>
          <w:color w:val="C00000"/>
          <w:sz w:val="18"/>
          <w:szCs w:val="28"/>
          <w:lang w:val="es-SV" w:eastAsia="en-US" w:bidi="ar-SA"/>
        </w:rPr>
        <w:t xml:space="preserve">Versión pública de acuerdo a lo dispuesto en el Art. 30 de la LAIP, se elimina  </w:t>
      </w:r>
      <w:r w:rsidRPr="00622823">
        <w:rPr>
          <w:rFonts w:asciiTheme="minorHAnsi" w:hAnsiTheme="minorHAnsi" w:cstheme="majorBidi"/>
          <w:b/>
          <w:bCs/>
          <w:color w:val="C00000"/>
          <w:sz w:val="18"/>
          <w:szCs w:val="28"/>
          <w:u w:val="single"/>
          <w:lang w:val="es-SV" w:eastAsia="en-US" w:bidi="ar-SA"/>
        </w:rPr>
        <w:t>el nombre</w:t>
      </w:r>
      <w:r w:rsidRPr="00622823">
        <w:rPr>
          <w:rFonts w:asciiTheme="minorHAnsi" w:hAnsiTheme="minorHAnsi" w:cstheme="majorBidi"/>
          <w:b/>
          <w:bCs/>
          <w:color w:val="C00000"/>
          <w:sz w:val="18"/>
          <w:szCs w:val="28"/>
          <w:lang w:val="es-SV" w:eastAsia="en-US" w:bidi="ar-SA"/>
        </w:rPr>
        <w:t xml:space="preserve"> por ser información que  vuelve identificable al (la) solicitante según el Art. 6 literal “a”; y al Art 19, todos de la LAIP. El dato se ubicaba en la </w:t>
      </w:r>
      <w:r w:rsidRPr="00622823">
        <w:rPr>
          <w:rFonts w:asciiTheme="minorHAnsi" w:hAnsiTheme="minorHAnsi" w:cstheme="majorBidi"/>
          <w:b/>
          <w:bCs/>
          <w:color w:val="C00000"/>
          <w:sz w:val="18"/>
          <w:szCs w:val="28"/>
          <w:u w:val="single"/>
          <w:lang w:val="es-SV" w:eastAsia="en-US" w:bidi="ar-SA"/>
        </w:rPr>
        <w:t xml:space="preserve">página 1 </w:t>
      </w:r>
      <w:r w:rsidRPr="00622823">
        <w:rPr>
          <w:rFonts w:asciiTheme="minorHAnsi" w:hAnsiTheme="minorHAnsi" w:cstheme="majorBidi"/>
          <w:b/>
          <w:bCs/>
          <w:color w:val="C00000"/>
          <w:sz w:val="18"/>
          <w:szCs w:val="28"/>
          <w:lang w:val="es-SV" w:eastAsia="en-US" w:bidi="ar-SA"/>
        </w:rPr>
        <w:t xml:space="preserve">del presente </w:t>
      </w:r>
      <w:r>
        <w:rPr>
          <w:rFonts w:asciiTheme="minorHAnsi" w:hAnsiTheme="minorHAnsi" w:cstheme="majorBidi"/>
          <w:b/>
          <w:bCs/>
          <w:color w:val="C00000"/>
          <w:sz w:val="18"/>
          <w:szCs w:val="28"/>
          <w:lang w:val="es-SV" w:eastAsia="en-US" w:bidi="ar-SA"/>
        </w:rPr>
        <w:t>documento</w:t>
      </w:r>
    </w:p>
    <w:p w:rsidR="00622823" w:rsidRDefault="00622823" w:rsidP="00A94655">
      <w:pPr>
        <w:widowControl/>
        <w:jc w:val="center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</w:p>
    <w:p w:rsidR="00BC138B" w:rsidRDefault="00407F72" w:rsidP="00A94655">
      <w:pPr>
        <w:widowControl/>
        <w:jc w:val="center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ANEXO 1</w:t>
      </w:r>
    </w:p>
    <w:p w:rsidR="004B33DC" w:rsidRDefault="004B33DC" w:rsidP="00A94655">
      <w:pPr>
        <w:widowControl/>
        <w:jc w:val="center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</w:p>
    <w:p w:rsidR="004B33DC" w:rsidRPr="00AF502A" w:rsidRDefault="00BF78EA" w:rsidP="004B33DC">
      <w:pPr>
        <w:widowControl/>
        <w:jc w:val="center"/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>Criterios y/o p</w:t>
      </w:r>
      <w:r w:rsidR="004B33DC" w:rsidRPr="00AF502A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 xml:space="preserve">arámetros de selección </w:t>
      </w:r>
      <w:r w:rsidR="00CF5019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>d</w:t>
      </w:r>
      <w:r w:rsidR="004B33DC" w:rsidRPr="00AF502A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>el técnico</w:t>
      </w:r>
      <w:r w:rsidR="00987563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 xml:space="preserve"> (a)</w:t>
      </w:r>
      <w:r w:rsidR="004B33DC" w:rsidRPr="00AF502A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 xml:space="preserve">/participante en cualquiera de las </w:t>
      </w:r>
      <w:proofErr w:type="spellStart"/>
      <w:r w:rsidR="004B33DC" w:rsidRPr="00AF502A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>OROP's</w:t>
      </w:r>
      <w:proofErr w:type="spellEnd"/>
      <w:r w:rsidR="004B33DC" w:rsidRPr="00AF502A">
        <w:rPr>
          <w:rFonts w:asciiTheme="minorHAnsi" w:eastAsiaTheme="minorHAnsi" w:hAnsiTheme="minorHAnsi" w:cstheme="minorHAnsi"/>
          <w:b/>
          <w:bCs/>
          <w:color w:val="000066"/>
          <w:szCs w:val="21"/>
          <w:lang w:val="es-SV" w:eastAsia="en-US" w:bidi="ar-SA"/>
        </w:rPr>
        <w:t>:</w:t>
      </w:r>
    </w:p>
    <w:p w:rsidR="004B33DC" w:rsidRDefault="004B33DC" w:rsidP="004B33DC">
      <w:pPr>
        <w:widowControl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Deberá estar destacado en la División de Administración y Ord</w:t>
      </w:r>
      <w:r w:rsidR="00407F7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enamiento Pesquero y Acuícola, 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ya que esta es una actividad nor</w:t>
      </w:r>
      <w:r w:rsidR="00407F7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mativa de la pesquería del Atún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Dominio del idioma inglés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Compromiso institucional comprobado. Ya que además de responder a las responsabilidades del trabajo en la</w:t>
      </w:r>
      <w:r w:rsidR="00407F7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s OROP´S (</w:t>
      </w:r>
      <w:r w:rsidR="000507E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Organización Regional de Ordenamiento Pesquero del Pacífico Sur</w:t>
      </w:r>
      <w:r w:rsidR="00407F7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)</w:t>
      </w:r>
      <w:r w:rsidR="000507E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, de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berá estar al día con las responsabilidades </w:t>
      </w:r>
      <w:r w:rsidR="000507E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definidas en el Plan Anual Operativo-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PAO institucional.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Conocimiento sobre la parte normativa y de ordenamiento pesquero y acuícola de la institución y la región donde operan las </w:t>
      </w:r>
      <w:proofErr w:type="spellStart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OROP's</w:t>
      </w:r>
      <w:proofErr w:type="spellEnd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.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Dominar ampliamente las políticas y resoluciones de ordenamiento de las diferentes OROP'S: </w:t>
      </w:r>
      <w:r w:rsidR="000507E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Comisión Internacional del Atún Tropical-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CIAT</w:t>
      </w:r>
      <w:r w:rsidR="000507E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;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 </w:t>
      </w:r>
      <w:r w:rsidR="00AF502A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Comisión Internacional para</w:t>
      </w:r>
      <w:r w:rsidR="00407F72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 </w:t>
      </w:r>
      <w:r w:rsidR="00AF502A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la Conservación del Atún Atlántico-ICCAT, y Comisión de Pesca del Pacífico Occidental y Central-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WCPFC.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Llevar estricto control sobre el cumplimiento, con la entrega de la información requerida por las Comisiones que integran las </w:t>
      </w:r>
      <w:proofErr w:type="spellStart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OROP's</w:t>
      </w:r>
      <w:proofErr w:type="spellEnd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, de manera técnica, oportuna y ordenada.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Habilidad comprobada para el diálogo, discusión e interactuar con personal técnico de otros países para obtención de apoyo a propuestas para normativas que permitan el uso sostenible de las pesquerías atuneras.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Los técnicos/as integrantes de las </w:t>
      </w:r>
      <w:proofErr w:type="spellStart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OROP's</w:t>
      </w:r>
      <w:proofErr w:type="spellEnd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, deberán haber participado en los talleres de formación y actualización de conocimientos de la pesquería del atún, que continuamente organiza la Industria Atunera, en coordinación con las diferentes </w:t>
      </w:r>
      <w:proofErr w:type="spellStart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OROP's</w:t>
      </w:r>
      <w:proofErr w:type="spellEnd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.</w:t>
      </w:r>
    </w:p>
    <w:p w:rsidR="004B33DC" w:rsidRPr="004B33DC" w:rsidRDefault="004B33DC" w:rsidP="002B1C87">
      <w:pPr>
        <w:pStyle w:val="Prrafodelista"/>
        <w:widowControl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</w:pP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Las personas delegadas para El Salvador en la Comisión Interamericana del Atún Tropical en representación de </w:t>
      </w:r>
      <w:r w:rsidR="00AF502A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la parte gubernamental son: la i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ngeniera Sara Anabel Mejía Arteaga desde el 24 de octubre</w:t>
      </w:r>
      <w:r w:rsidR="00AF502A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 de 2018, en sustitución de la l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icenciada Diana Barahona. El apoyo científico en la</w:t>
      </w:r>
      <w:r w:rsidR="00AF502A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s reuniones es aportado por la l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icenciada Celina Margarita De Paz, la representación empresarial propuesta </w:t>
      </w:r>
      <w:r w:rsidRPr="00622823">
        <w:rPr>
          <w:rFonts w:asciiTheme="minorHAnsi" w:eastAsiaTheme="minorHAnsi" w:hAnsiTheme="minorHAnsi" w:cstheme="minorHAnsi"/>
          <w:bCs/>
          <w:color w:val="auto"/>
          <w:sz w:val="22"/>
          <w:szCs w:val="21"/>
          <w:u w:val="single"/>
          <w:lang w:val="es-SV" w:eastAsia="en-US" w:bidi="ar-SA"/>
        </w:rPr>
        <w:t>por la empresa Calvo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 es </w:t>
      </w:r>
      <w:proofErr w:type="spellStart"/>
      <w:r w:rsidR="00622823" w:rsidRPr="00622823">
        <w:rPr>
          <w:rFonts w:asciiTheme="minorHAnsi" w:eastAsiaTheme="minorHAnsi" w:hAnsiTheme="minorHAnsi" w:cstheme="minorHAnsi"/>
          <w:b/>
          <w:bCs/>
          <w:color w:val="auto"/>
          <w:sz w:val="22"/>
          <w:szCs w:val="21"/>
          <w:highlight w:val="black"/>
          <w:lang w:val="es-SV" w:eastAsia="en-US" w:bidi="ar-SA"/>
        </w:rPr>
        <w:t>xxxxxxxxx</w:t>
      </w:r>
      <w:proofErr w:type="spellEnd"/>
      <w:r w:rsidRPr="00622823">
        <w:rPr>
          <w:rFonts w:asciiTheme="minorHAnsi" w:eastAsiaTheme="minorHAnsi" w:hAnsiTheme="minorHAnsi" w:cstheme="minorHAnsi"/>
          <w:b/>
          <w:bCs/>
          <w:color w:val="auto"/>
          <w:sz w:val="22"/>
          <w:szCs w:val="21"/>
          <w:lang w:val="es-SV" w:eastAsia="en-US" w:bidi="ar-SA"/>
        </w:rPr>
        <w:t xml:space="preserve"> </w:t>
      </w:r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>de</w:t>
      </w:r>
      <w:bookmarkStart w:id="0" w:name="_GoBack"/>
      <w:bookmarkEnd w:id="0"/>
      <w:r w:rsidRPr="004B33DC">
        <w:rPr>
          <w:rFonts w:asciiTheme="minorHAnsi" w:eastAsiaTheme="minorHAnsi" w:hAnsiTheme="minorHAnsi" w:cstheme="minorHAnsi"/>
          <w:bCs/>
          <w:color w:val="auto"/>
          <w:sz w:val="22"/>
          <w:szCs w:val="21"/>
          <w:lang w:val="es-SV" w:eastAsia="en-US" w:bidi="ar-SA"/>
        </w:rPr>
        <w:t xml:space="preserve"> Calvo.</w:t>
      </w:r>
    </w:p>
    <w:sectPr w:rsidR="004B33DC" w:rsidRPr="004B33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13" w:rsidRDefault="00403213" w:rsidP="00F068C7">
      <w:r>
        <w:separator/>
      </w:r>
    </w:p>
  </w:endnote>
  <w:endnote w:type="continuationSeparator" w:id="0">
    <w:p w:rsidR="00403213" w:rsidRDefault="00403213" w:rsidP="00F0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13" w:rsidRDefault="00403213" w:rsidP="00F068C7">
      <w:r>
        <w:separator/>
      </w:r>
    </w:p>
  </w:footnote>
  <w:footnote w:type="continuationSeparator" w:id="0">
    <w:p w:rsidR="00403213" w:rsidRDefault="00403213" w:rsidP="00F0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C7" w:rsidRDefault="00F068C7">
    <w:pPr>
      <w:pStyle w:val="Encabezado"/>
    </w:pPr>
  </w:p>
  <w:p w:rsidR="00F068C7" w:rsidRDefault="00BD458E">
    <w:pPr>
      <w:pStyle w:val="Encabezado"/>
    </w:pPr>
    <w:r>
      <w:rPr>
        <w:noProof/>
        <w:lang w:eastAsia="es-SV"/>
      </w:rPr>
      <w:drawing>
        <wp:inline distT="0" distB="0" distL="0" distR="0" wp14:anchorId="2363ED4F" wp14:editId="4B93C232">
          <wp:extent cx="2400300" cy="947420"/>
          <wp:effectExtent l="0" t="0" r="0" b="5080"/>
          <wp:docPr id="1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5C16"/>
    <w:multiLevelType w:val="hybridMultilevel"/>
    <w:tmpl w:val="DF6A6A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5F"/>
    <w:rsid w:val="000507E2"/>
    <w:rsid w:val="00071234"/>
    <w:rsid w:val="000F160C"/>
    <w:rsid w:val="00206884"/>
    <w:rsid w:val="00252FD5"/>
    <w:rsid w:val="002B1C87"/>
    <w:rsid w:val="003750CC"/>
    <w:rsid w:val="00387599"/>
    <w:rsid w:val="00393EE0"/>
    <w:rsid w:val="003E3B13"/>
    <w:rsid w:val="00402CE3"/>
    <w:rsid w:val="00403213"/>
    <w:rsid w:val="00407F72"/>
    <w:rsid w:val="004B33DC"/>
    <w:rsid w:val="00525634"/>
    <w:rsid w:val="0052685F"/>
    <w:rsid w:val="00596881"/>
    <w:rsid w:val="00622823"/>
    <w:rsid w:val="00641BB7"/>
    <w:rsid w:val="007651DF"/>
    <w:rsid w:val="008C7662"/>
    <w:rsid w:val="00987563"/>
    <w:rsid w:val="009965CD"/>
    <w:rsid w:val="00A94655"/>
    <w:rsid w:val="00AF502A"/>
    <w:rsid w:val="00BC138B"/>
    <w:rsid w:val="00BD458E"/>
    <w:rsid w:val="00BF78EA"/>
    <w:rsid w:val="00C94D61"/>
    <w:rsid w:val="00CB6228"/>
    <w:rsid w:val="00CF5019"/>
    <w:rsid w:val="00E2477B"/>
    <w:rsid w:val="00E95F2B"/>
    <w:rsid w:val="00F068C7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4D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68C7"/>
    <w:pPr>
      <w:widowControl/>
    </w:pPr>
    <w:rPr>
      <w:rFonts w:ascii="Tahoma" w:eastAsiaTheme="minorHAnsi" w:hAnsi="Tahoma" w:cs="Tahoma"/>
      <w:color w:val="auto"/>
      <w:sz w:val="16"/>
      <w:szCs w:val="16"/>
      <w:lang w:val="es-SV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8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68C7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sz w:val="22"/>
      <w:szCs w:val="22"/>
      <w:lang w:val="es-SV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068C7"/>
  </w:style>
  <w:style w:type="paragraph" w:styleId="Piedepgina">
    <w:name w:val="footer"/>
    <w:basedOn w:val="Normal"/>
    <w:link w:val="PiedepginaCar"/>
    <w:uiPriority w:val="99"/>
    <w:unhideWhenUsed/>
    <w:rsid w:val="00F068C7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sz w:val="22"/>
      <w:szCs w:val="22"/>
      <w:lang w:val="es-SV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68C7"/>
  </w:style>
  <w:style w:type="character" w:customStyle="1" w:styleId="Cuerpodeltexto2">
    <w:name w:val="Cuerpo del texto (2)_"/>
    <w:basedOn w:val="Fuentedeprrafopredeter"/>
    <w:rsid w:val="00C94D6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AngsanaUPC">
    <w:name w:val="Cuerpo del texto (2) + AngsanaUPC"/>
    <w:aliases w:val="15 pto"/>
    <w:basedOn w:val="Cuerpodeltexto2"/>
    <w:rsid w:val="00C94D6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20">
    <w:name w:val="Cuerpo del texto (2)"/>
    <w:basedOn w:val="Cuerpodeltexto2"/>
    <w:rsid w:val="00C94D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B3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4D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68C7"/>
    <w:pPr>
      <w:widowControl/>
    </w:pPr>
    <w:rPr>
      <w:rFonts w:ascii="Tahoma" w:eastAsiaTheme="minorHAnsi" w:hAnsi="Tahoma" w:cs="Tahoma"/>
      <w:color w:val="auto"/>
      <w:sz w:val="16"/>
      <w:szCs w:val="16"/>
      <w:lang w:val="es-SV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8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68C7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sz w:val="22"/>
      <w:szCs w:val="22"/>
      <w:lang w:val="es-SV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068C7"/>
  </w:style>
  <w:style w:type="paragraph" w:styleId="Piedepgina">
    <w:name w:val="footer"/>
    <w:basedOn w:val="Normal"/>
    <w:link w:val="PiedepginaCar"/>
    <w:uiPriority w:val="99"/>
    <w:unhideWhenUsed/>
    <w:rsid w:val="00F068C7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sz w:val="22"/>
      <w:szCs w:val="22"/>
      <w:lang w:val="es-SV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68C7"/>
  </w:style>
  <w:style w:type="character" w:customStyle="1" w:styleId="Cuerpodeltexto2">
    <w:name w:val="Cuerpo del texto (2)_"/>
    <w:basedOn w:val="Fuentedeprrafopredeter"/>
    <w:rsid w:val="00C94D6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AngsanaUPC">
    <w:name w:val="Cuerpo del texto (2) + AngsanaUPC"/>
    <w:aliases w:val="15 pto"/>
    <w:basedOn w:val="Cuerpodeltexto2"/>
    <w:rsid w:val="00C94D6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20">
    <w:name w:val="Cuerpo del texto (2)"/>
    <w:basedOn w:val="Cuerpodeltexto2"/>
    <w:rsid w:val="00C94D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B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cp:lastPrinted>2019-05-20T23:44:00Z</cp:lastPrinted>
  <dcterms:created xsi:type="dcterms:W3CDTF">2019-06-20T15:57:00Z</dcterms:created>
  <dcterms:modified xsi:type="dcterms:W3CDTF">2019-06-20T15:58:00Z</dcterms:modified>
</cp:coreProperties>
</file>