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0E" w:rsidRPr="0062140E" w:rsidRDefault="009E4473" w:rsidP="0062140E">
      <w:pPr>
        <w:pStyle w:val="Sinespaciado"/>
        <w:jc w:val="center"/>
        <w:rPr>
          <w:rFonts w:eastAsia="Times New Roman"/>
          <w:b/>
          <w:sz w:val="32"/>
          <w:lang w:val="es-SV" w:eastAsia="ar-SA"/>
        </w:rPr>
      </w:pPr>
      <w:r>
        <w:rPr>
          <w:rFonts w:eastAsia="Times New Roman"/>
          <w:b/>
          <w:sz w:val="32"/>
          <w:lang w:val="es-SV" w:eastAsia="ar-SA"/>
        </w:rPr>
        <w:t xml:space="preserve"> </w:t>
      </w:r>
      <w:r w:rsidR="00D93120">
        <w:rPr>
          <w:rFonts w:eastAsia="Times New Roman"/>
          <w:b/>
          <w:sz w:val="32"/>
          <w:lang w:val="es-SV" w:eastAsia="ar-SA"/>
        </w:rPr>
        <w:t xml:space="preserve">DIRECCIÓN </w:t>
      </w:r>
      <w:r w:rsidR="00ED3D91">
        <w:rPr>
          <w:rFonts w:eastAsia="Times New Roman"/>
          <w:b/>
          <w:sz w:val="32"/>
          <w:lang w:val="es-SV" w:eastAsia="ar-SA"/>
        </w:rPr>
        <w:t>GENERAL DE ECONOMÍA AGROPECUARIA</w:t>
      </w:r>
    </w:p>
    <w:p w:rsidR="00145563" w:rsidRPr="00145563" w:rsidRDefault="00145563" w:rsidP="00145563">
      <w:pPr>
        <w:jc w:val="center"/>
        <w:rPr>
          <w:rFonts w:eastAsia="Times New Roman" w:cstheme="minorHAnsi"/>
          <w:b/>
          <w:color w:val="000099"/>
          <w:sz w:val="24"/>
          <w:szCs w:val="25"/>
          <w:lang w:val="es-SV" w:eastAsia="ar-SA"/>
        </w:rPr>
      </w:pPr>
      <w:r w:rsidRPr="00145563">
        <w:rPr>
          <w:rFonts w:eastAsia="Times New Roman" w:cstheme="minorHAnsi"/>
          <w:b/>
          <w:color w:val="000099"/>
          <w:sz w:val="24"/>
          <w:szCs w:val="25"/>
          <w:lang w:val="es-SV" w:eastAsia="ar-SA"/>
        </w:rPr>
        <w:t>RESPUESTAS SOLICITUD DE INFORMACIÓN N° 052-2019</w:t>
      </w:r>
    </w:p>
    <w:p w:rsidR="00D71CD9" w:rsidRPr="00D71CD9" w:rsidRDefault="00145563" w:rsidP="00D71CD9">
      <w:pPr>
        <w:jc w:val="both"/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</w:pPr>
      <w:r>
        <w:rPr>
          <w:rFonts w:eastAsia="Times New Roman" w:cstheme="minorHAnsi"/>
          <w:color w:val="000000"/>
          <w:sz w:val="24"/>
          <w:szCs w:val="25"/>
          <w:lang w:val="es-SV" w:eastAsia="ar-SA"/>
        </w:rPr>
        <w:t>La</w:t>
      </w:r>
      <w:r w:rsidR="00116AC0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 Dirección General</w:t>
      </w:r>
      <w:r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 de Economía Agropecuaria</w:t>
      </w:r>
      <w:r w:rsidR="00116AC0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, a través de la División de </w:t>
      </w:r>
      <w:r w:rsidR="00D71CD9">
        <w:rPr>
          <w:rFonts w:eastAsia="Times New Roman" w:cstheme="minorHAnsi"/>
          <w:color w:val="000000"/>
          <w:sz w:val="24"/>
          <w:szCs w:val="25"/>
          <w:lang w:val="es-SV" w:eastAsia="ar-SA"/>
        </w:rPr>
        <w:t>Abastecimiento</w:t>
      </w:r>
      <w:r w:rsidR="00116AC0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, </w:t>
      </w:r>
      <w:r w:rsidR="00D71CD9">
        <w:rPr>
          <w:rFonts w:eastAsia="Times New Roman" w:cstheme="minorHAnsi"/>
          <w:color w:val="000000"/>
          <w:sz w:val="24"/>
          <w:szCs w:val="25"/>
          <w:lang w:val="es-SV" w:eastAsia="ar-SA"/>
        </w:rPr>
        <w:t>ha formulado la siguiente respuesta a la mencionada solicitud</w:t>
      </w:r>
      <w:r w:rsidR="00116AC0">
        <w:rPr>
          <w:rFonts w:eastAsia="Times New Roman" w:cstheme="minorHAnsi"/>
          <w:color w:val="000000"/>
          <w:sz w:val="24"/>
          <w:szCs w:val="25"/>
          <w:lang w:val="es-SV" w:eastAsia="ar-SA"/>
        </w:rPr>
        <w:t>:</w:t>
      </w:r>
    </w:p>
    <w:p w:rsidR="006C7B30" w:rsidRDefault="006C7B30" w:rsidP="006C7B30">
      <w:pPr>
        <w:jc w:val="both"/>
        <w:rPr>
          <w:b/>
        </w:rPr>
      </w:pPr>
      <w:r w:rsidRPr="00981DD3">
        <w:rPr>
          <w:b/>
        </w:rPr>
        <w:t>1.</w:t>
      </w:r>
      <w:r>
        <w:rPr>
          <w:b/>
        </w:rPr>
        <w:t xml:space="preserve"> </w:t>
      </w:r>
      <w:r w:rsidRPr="00981DD3">
        <w:rPr>
          <w:b/>
        </w:rPr>
        <w:t>Números de Paquetes de Insumos Agrícolas entregados en el 2018, monto invertido y periodos de entrega (separar por maíz y frijol). Indicar la fuente de financiamiento de los mismos.</w:t>
      </w:r>
    </w:p>
    <w:tbl>
      <w:tblPr>
        <w:tblW w:w="68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1200"/>
        <w:gridCol w:w="1279"/>
        <w:gridCol w:w="1067"/>
        <w:gridCol w:w="1492"/>
      </w:tblGrid>
      <w:tr w:rsidR="006C7B30" w:rsidRPr="009222A0" w:rsidTr="00F10584">
        <w:trPr>
          <w:trHeight w:val="735"/>
          <w:jc w:val="center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2"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ENTREGA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4B082"/>
            <w:noWrap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CANTIDAD </w:t>
            </w:r>
          </w:p>
        </w:tc>
        <w:tc>
          <w:tcPr>
            <w:tcW w:w="1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4B082"/>
            <w:noWrap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INVERSION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*</w:t>
            </w:r>
            <w:r w:rsidRPr="009222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4B082"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PERIODOS DE ENTREGA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4B082"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FUENTE DE FINANCIAMIENTO</w:t>
            </w:r>
          </w:p>
        </w:tc>
      </w:tr>
      <w:tr w:rsidR="006C7B30" w:rsidRPr="009222A0" w:rsidTr="00F10584">
        <w:trPr>
          <w:trHeight w:val="735"/>
          <w:jc w:val="center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ENTREGA DE SEMILLA DE MAÍZ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461,423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$19,303,710.49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ABRIL 2018 A DICIEMBRE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FONDOS GOES</w:t>
            </w:r>
          </w:p>
        </w:tc>
      </w:tr>
      <w:tr w:rsidR="006C7B30" w:rsidRPr="009222A0" w:rsidTr="00F10584">
        <w:trPr>
          <w:trHeight w:val="735"/>
          <w:jc w:val="center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ENTREGA DE SEMILLA DE FRIJOL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106,625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$3,412,000.00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ago-18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B30" w:rsidRPr="009222A0" w:rsidRDefault="006C7B30" w:rsidP="00F10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9222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FONDOS GOES</w:t>
            </w:r>
          </w:p>
        </w:tc>
      </w:tr>
    </w:tbl>
    <w:p w:rsidR="006C7B30" w:rsidRPr="009222A0" w:rsidRDefault="006C7B30" w:rsidP="006C7B30">
      <w:pPr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ab/>
      </w:r>
      <w:r>
        <w:rPr>
          <w:sz w:val="18"/>
        </w:rPr>
        <w:tab/>
      </w:r>
      <w:r w:rsidRPr="009222A0">
        <w:rPr>
          <w:sz w:val="18"/>
        </w:rPr>
        <w:t xml:space="preserve">*Dato de inversión conforme a los paquetes entregados y costo unitario. </w:t>
      </w:r>
    </w:p>
    <w:p w:rsidR="006C7B30" w:rsidRPr="00981DD3" w:rsidRDefault="006C7B30" w:rsidP="006C7B30">
      <w:pPr>
        <w:jc w:val="both"/>
      </w:pPr>
    </w:p>
    <w:p w:rsidR="006C7B30" w:rsidRDefault="006C7B30" w:rsidP="006C7B30">
      <w:pPr>
        <w:jc w:val="both"/>
        <w:rPr>
          <w:b/>
        </w:rPr>
      </w:pPr>
      <w:r w:rsidRPr="00981DD3">
        <w:rPr>
          <w:b/>
        </w:rPr>
        <w:t>2. Numero de paquetes de insumos agrícolas a entregar en 2019 (separar por maíz y frijol).</w:t>
      </w:r>
    </w:p>
    <w:tbl>
      <w:tblPr>
        <w:tblStyle w:val="Tablaconcuadrcula"/>
        <w:tblW w:w="5011" w:type="pct"/>
        <w:tblLook w:val="04A0" w:firstRow="1" w:lastRow="0" w:firstColumn="1" w:lastColumn="0" w:noHBand="0" w:noVBand="1"/>
      </w:tblPr>
      <w:tblGrid>
        <w:gridCol w:w="4677"/>
        <w:gridCol w:w="4397"/>
      </w:tblGrid>
      <w:tr w:rsidR="006C7B30" w:rsidTr="00F10584">
        <w:trPr>
          <w:trHeight w:val="336"/>
        </w:trPr>
        <w:tc>
          <w:tcPr>
            <w:tcW w:w="2577" w:type="pct"/>
            <w:shd w:val="clear" w:color="auto" w:fill="FABF8F" w:themeFill="accent6" w:themeFillTint="99"/>
            <w:vAlign w:val="center"/>
          </w:tcPr>
          <w:p w:rsidR="006C7B30" w:rsidRPr="00484BCF" w:rsidRDefault="006C7B30" w:rsidP="00F10584">
            <w:pPr>
              <w:jc w:val="center"/>
              <w:rPr>
                <w:b/>
              </w:rPr>
            </w:pPr>
            <w:r w:rsidRPr="00484BCF">
              <w:rPr>
                <w:b/>
              </w:rPr>
              <w:t>ENTREGA</w:t>
            </w:r>
          </w:p>
        </w:tc>
        <w:tc>
          <w:tcPr>
            <w:tcW w:w="2423" w:type="pct"/>
            <w:shd w:val="clear" w:color="auto" w:fill="FABF8F" w:themeFill="accent6" w:themeFillTint="99"/>
            <w:vAlign w:val="center"/>
          </w:tcPr>
          <w:p w:rsidR="006C7B30" w:rsidRPr="00484BCF" w:rsidRDefault="006C7B30" w:rsidP="00F10584">
            <w:pPr>
              <w:jc w:val="center"/>
              <w:rPr>
                <w:b/>
              </w:rPr>
            </w:pPr>
            <w:r>
              <w:rPr>
                <w:b/>
              </w:rPr>
              <w:t>CANTIDAD PROGRAMADA A ENTREGAR</w:t>
            </w:r>
          </w:p>
        </w:tc>
      </w:tr>
      <w:tr w:rsidR="006C7B30" w:rsidTr="00F10584">
        <w:trPr>
          <w:trHeight w:val="698"/>
        </w:trPr>
        <w:tc>
          <w:tcPr>
            <w:tcW w:w="2577" w:type="pct"/>
          </w:tcPr>
          <w:p w:rsidR="006C7B30" w:rsidRPr="00757721" w:rsidRDefault="006C7B30" w:rsidP="00F10584">
            <w:pPr>
              <w:jc w:val="both"/>
            </w:pPr>
            <w:r>
              <w:t>Entrega de s</w:t>
            </w:r>
            <w:r w:rsidRPr="00757721">
              <w:t>emilla certificada</w:t>
            </w:r>
            <w:r>
              <w:t xml:space="preserve"> de</w:t>
            </w:r>
            <w:r w:rsidRPr="00757721">
              <w:t xml:space="preserve"> </w:t>
            </w:r>
            <w:r>
              <w:t>m</w:t>
            </w:r>
            <w:r w:rsidRPr="00757721">
              <w:t>aíz</w:t>
            </w:r>
            <w:r>
              <w:t xml:space="preserve"> y f</w:t>
            </w:r>
            <w:r w:rsidRPr="00757721">
              <w:t xml:space="preserve">ertilizante </w:t>
            </w:r>
          </w:p>
        </w:tc>
        <w:tc>
          <w:tcPr>
            <w:tcW w:w="2423" w:type="pct"/>
            <w:vAlign w:val="center"/>
          </w:tcPr>
          <w:p w:rsidR="006C7B30" w:rsidRPr="00757721" w:rsidRDefault="006C7B30" w:rsidP="00F10584">
            <w:pPr>
              <w:jc w:val="center"/>
            </w:pPr>
            <w:r>
              <w:t>422, 477</w:t>
            </w:r>
          </w:p>
        </w:tc>
      </w:tr>
    </w:tbl>
    <w:p w:rsidR="006C7B30" w:rsidRDefault="006C7B30" w:rsidP="006C7B30">
      <w:pPr>
        <w:jc w:val="both"/>
        <w:rPr>
          <w:b/>
        </w:rPr>
      </w:pPr>
    </w:p>
    <w:p w:rsidR="006C7B30" w:rsidRPr="00C00DB1" w:rsidRDefault="006C7B30" w:rsidP="006C7B30">
      <w:pPr>
        <w:jc w:val="both"/>
      </w:pPr>
      <w:r>
        <w:t>E</w:t>
      </w:r>
      <w:r w:rsidRPr="00C00DB1">
        <w:t xml:space="preserve">n años anteriores, el frijol se entrega en el mes de agosto. Para 2019, será la administración 2019-2024 la que defina la cantidad. </w:t>
      </w:r>
    </w:p>
    <w:p w:rsidR="006C7B30" w:rsidRDefault="006C7B30" w:rsidP="006C7B30">
      <w:pPr>
        <w:jc w:val="both"/>
        <w:rPr>
          <w:b/>
        </w:rPr>
      </w:pPr>
      <w:r w:rsidRPr="00981DD3">
        <w:rPr>
          <w:b/>
        </w:rPr>
        <w:t>3. Fecha de inicio y finalización de entrega de paquetes agrícolas 2018 (separar por maíz y frijol).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2900"/>
        <w:gridCol w:w="2993"/>
      </w:tblGrid>
      <w:tr w:rsidR="006C7B30" w:rsidTr="00F10584">
        <w:tc>
          <w:tcPr>
            <w:tcW w:w="3085" w:type="dxa"/>
            <w:shd w:val="clear" w:color="auto" w:fill="FABF8F" w:themeFill="accent6" w:themeFillTint="99"/>
            <w:vAlign w:val="center"/>
          </w:tcPr>
          <w:p w:rsidR="006C7B30" w:rsidRPr="00484BCF" w:rsidRDefault="006C7B30" w:rsidP="00F10584">
            <w:pPr>
              <w:jc w:val="center"/>
              <w:rPr>
                <w:b/>
              </w:rPr>
            </w:pPr>
            <w:r w:rsidRPr="00484BCF">
              <w:rPr>
                <w:b/>
              </w:rPr>
              <w:t>ENTREGA</w:t>
            </w:r>
          </w:p>
        </w:tc>
        <w:tc>
          <w:tcPr>
            <w:tcW w:w="2900" w:type="dxa"/>
            <w:shd w:val="clear" w:color="auto" w:fill="FABF8F" w:themeFill="accent6" w:themeFillTint="99"/>
            <w:vAlign w:val="center"/>
          </w:tcPr>
          <w:p w:rsidR="006C7B30" w:rsidRPr="00484BCF" w:rsidRDefault="006C7B30" w:rsidP="00F10584">
            <w:pPr>
              <w:jc w:val="center"/>
              <w:rPr>
                <w:b/>
              </w:rPr>
            </w:pPr>
            <w:r w:rsidRPr="00484BCF">
              <w:rPr>
                <w:b/>
              </w:rPr>
              <w:t>FECHA DE INICIO</w:t>
            </w:r>
          </w:p>
        </w:tc>
        <w:tc>
          <w:tcPr>
            <w:tcW w:w="2993" w:type="dxa"/>
            <w:shd w:val="clear" w:color="auto" w:fill="FABF8F" w:themeFill="accent6" w:themeFillTint="99"/>
            <w:vAlign w:val="center"/>
          </w:tcPr>
          <w:p w:rsidR="006C7B30" w:rsidRPr="00484BCF" w:rsidRDefault="006C7B30" w:rsidP="00F10584">
            <w:pPr>
              <w:jc w:val="center"/>
              <w:rPr>
                <w:b/>
              </w:rPr>
            </w:pPr>
            <w:r w:rsidRPr="00484BCF">
              <w:rPr>
                <w:b/>
              </w:rPr>
              <w:t>FECHA</w:t>
            </w:r>
            <w:r>
              <w:rPr>
                <w:b/>
              </w:rPr>
              <w:t xml:space="preserve"> APROXIMADA</w:t>
            </w:r>
            <w:r w:rsidRPr="00484BCF">
              <w:rPr>
                <w:b/>
              </w:rPr>
              <w:t xml:space="preserve"> DE FINALIZACION</w:t>
            </w:r>
            <w:r>
              <w:rPr>
                <w:b/>
              </w:rPr>
              <w:t xml:space="preserve"> ESTIMADA</w:t>
            </w:r>
          </w:p>
        </w:tc>
      </w:tr>
      <w:tr w:rsidR="006C7B30" w:rsidTr="00F10584">
        <w:tc>
          <w:tcPr>
            <w:tcW w:w="3085" w:type="dxa"/>
          </w:tcPr>
          <w:p w:rsidR="006C7B30" w:rsidRPr="00757721" w:rsidRDefault="006C7B30" w:rsidP="00F10584">
            <w:pPr>
              <w:jc w:val="both"/>
            </w:pPr>
            <w:r>
              <w:t>Entrega de semilla certificada de maíz y fertilizante</w:t>
            </w:r>
          </w:p>
        </w:tc>
        <w:tc>
          <w:tcPr>
            <w:tcW w:w="2900" w:type="dxa"/>
            <w:vAlign w:val="center"/>
          </w:tcPr>
          <w:p w:rsidR="006C7B30" w:rsidRPr="00757721" w:rsidRDefault="006C7B30" w:rsidP="00F10584">
            <w:pPr>
              <w:jc w:val="center"/>
            </w:pPr>
            <w:r>
              <w:t>25 de abril de 2018</w:t>
            </w:r>
          </w:p>
        </w:tc>
        <w:tc>
          <w:tcPr>
            <w:tcW w:w="2993" w:type="dxa"/>
            <w:vAlign w:val="center"/>
          </w:tcPr>
          <w:p w:rsidR="006C7B30" w:rsidRPr="00757721" w:rsidRDefault="006C7B30" w:rsidP="00F10584">
            <w:pPr>
              <w:jc w:val="center"/>
            </w:pPr>
            <w:r>
              <w:t>10 de julio</w:t>
            </w:r>
            <w:r w:rsidRPr="00757721">
              <w:t xml:space="preserve"> 2018</w:t>
            </w:r>
          </w:p>
        </w:tc>
      </w:tr>
      <w:tr w:rsidR="006C7B30" w:rsidTr="00F10584">
        <w:tc>
          <w:tcPr>
            <w:tcW w:w="3085" w:type="dxa"/>
          </w:tcPr>
          <w:p w:rsidR="006C7B30" w:rsidRPr="00757721" w:rsidRDefault="006C7B30" w:rsidP="00F10584">
            <w:pPr>
              <w:jc w:val="both"/>
            </w:pPr>
            <w:r w:rsidRPr="00757721">
              <w:t>Semilla mejorada de Frijol</w:t>
            </w:r>
          </w:p>
        </w:tc>
        <w:tc>
          <w:tcPr>
            <w:tcW w:w="2900" w:type="dxa"/>
            <w:vAlign w:val="center"/>
          </w:tcPr>
          <w:p w:rsidR="006C7B30" w:rsidRPr="00757721" w:rsidRDefault="006C7B30" w:rsidP="00F10584">
            <w:pPr>
              <w:jc w:val="center"/>
            </w:pPr>
            <w:r w:rsidRPr="00757721">
              <w:t>03 de agosto 2018</w:t>
            </w:r>
          </w:p>
        </w:tc>
        <w:tc>
          <w:tcPr>
            <w:tcW w:w="2993" w:type="dxa"/>
            <w:vAlign w:val="center"/>
          </w:tcPr>
          <w:p w:rsidR="006C7B30" w:rsidRPr="00757721" w:rsidRDefault="006C7B30" w:rsidP="00F10584">
            <w:pPr>
              <w:jc w:val="center"/>
            </w:pPr>
            <w:r>
              <w:t xml:space="preserve">17 </w:t>
            </w:r>
            <w:r w:rsidRPr="00757721">
              <w:t>agosto 2018</w:t>
            </w:r>
          </w:p>
        </w:tc>
      </w:tr>
    </w:tbl>
    <w:p w:rsidR="006C7B30" w:rsidRDefault="006C7B30" w:rsidP="006C7B30">
      <w:pPr>
        <w:jc w:val="both"/>
        <w:rPr>
          <w:rFonts w:cs="Times New Roman"/>
          <w:b/>
        </w:rPr>
      </w:pPr>
    </w:p>
    <w:p w:rsidR="006C7B30" w:rsidRPr="000210B4" w:rsidRDefault="006C7B30" w:rsidP="006C7B30">
      <w:pPr>
        <w:jc w:val="both"/>
        <w:rPr>
          <w:rFonts w:cs="Times New Roman"/>
          <w:color w:val="000000" w:themeColor="text1"/>
        </w:rPr>
      </w:pPr>
      <w:r w:rsidRPr="00EC2CF8">
        <w:rPr>
          <w:rFonts w:cs="Times New Roman"/>
          <w:b/>
        </w:rPr>
        <w:lastRenderedPageBreak/>
        <w:t xml:space="preserve">Nota: </w:t>
      </w:r>
      <w:r w:rsidRPr="00EC2CF8">
        <w:rPr>
          <w:rFonts w:cs="Times New Roman"/>
        </w:rPr>
        <w:t xml:space="preserve"> Las fechas detalladas en el cuadro anterior, corresponden a las fechas oficiales de entrega, sin embargo, el Ministerio de Agricultura y Ganadería realiza entregas extemporáneas conforme a solicitudes y casos presentados </w:t>
      </w:r>
      <w:r>
        <w:rPr>
          <w:rFonts w:cs="Times New Roman"/>
        </w:rPr>
        <w:t xml:space="preserve">a la Dirección General de Economía Agropecuaria y Despacho Ministerial. Estas solicitudes son atendidas con base en zonas que tienen condiciones que aseguren una cosecha exitosa, así como también a la existencia de insumos agrícolas que se encuentren en </w:t>
      </w:r>
      <w:r w:rsidRPr="000210B4">
        <w:rPr>
          <w:rFonts w:cs="Times New Roman"/>
          <w:color w:val="000000" w:themeColor="text1"/>
        </w:rPr>
        <w:t xml:space="preserve">bodegas de resguardo de los mismos. </w:t>
      </w:r>
    </w:p>
    <w:p w:rsidR="006C7B30" w:rsidRPr="000210B4" w:rsidRDefault="006C7B30" w:rsidP="006C7B30">
      <w:pPr>
        <w:jc w:val="both"/>
        <w:rPr>
          <w:b/>
          <w:color w:val="000000" w:themeColor="text1"/>
        </w:rPr>
      </w:pPr>
      <w:r w:rsidRPr="000210B4">
        <w:rPr>
          <w:b/>
          <w:color w:val="000000" w:themeColor="text1"/>
        </w:rPr>
        <w:t>4. Monto total de la inversión en paquetes agrícolas 2019 (separar por maíz y frijol). Indicar la fuente de financiamiento de los mismos.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2"/>
        <w:gridCol w:w="3231"/>
        <w:gridCol w:w="2691"/>
      </w:tblGrid>
      <w:tr w:rsidR="006C7B30" w:rsidTr="00F10584">
        <w:tc>
          <w:tcPr>
            <w:tcW w:w="3132" w:type="dxa"/>
            <w:shd w:val="clear" w:color="auto" w:fill="FABF8F" w:themeFill="accent6" w:themeFillTint="99"/>
            <w:vAlign w:val="center"/>
          </w:tcPr>
          <w:p w:rsidR="006C7B30" w:rsidRPr="00A3411C" w:rsidRDefault="006C7B30" w:rsidP="00F10584">
            <w:pPr>
              <w:jc w:val="center"/>
              <w:rPr>
                <w:b/>
                <w:color w:val="000000" w:themeColor="text1"/>
              </w:rPr>
            </w:pPr>
            <w:r w:rsidRPr="00A3411C">
              <w:rPr>
                <w:b/>
                <w:color w:val="000000" w:themeColor="text1"/>
              </w:rPr>
              <w:t>INSUMOS AGRICOLAS</w:t>
            </w:r>
          </w:p>
        </w:tc>
        <w:tc>
          <w:tcPr>
            <w:tcW w:w="3231" w:type="dxa"/>
            <w:shd w:val="clear" w:color="auto" w:fill="FABF8F" w:themeFill="accent6" w:themeFillTint="99"/>
            <w:vAlign w:val="center"/>
          </w:tcPr>
          <w:p w:rsidR="006C7B30" w:rsidRPr="00A3411C" w:rsidRDefault="006C7B30" w:rsidP="00F10584">
            <w:pPr>
              <w:jc w:val="center"/>
              <w:rPr>
                <w:b/>
                <w:color w:val="000000" w:themeColor="text1"/>
              </w:rPr>
            </w:pPr>
            <w:r w:rsidRPr="00A3411C">
              <w:rPr>
                <w:b/>
                <w:color w:val="000000" w:themeColor="text1"/>
              </w:rPr>
              <w:t>INVERSION</w:t>
            </w:r>
          </w:p>
        </w:tc>
        <w:tc>
          <w:tcPr>
            <w:tcW w:w="2691" w:type="dxa"/>
            <w:shd w:val="clear" w:color="auto" w:fill="FABF8F" w:themeFill="accent6" w:themeFillTint="99"/>
          </w:tcPr>
          <w:p w:rsidR="006C7B30" w:rsidRPr="00A3411C" w:rsidRDefault="006C7B30" w:rsidP="00F1058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FUENTE DE FINANCIAMIENTO</w:t>
            </w:r>
          </w:p>
        </w:tc>
      </w:tr>
      <w:tr w:rsidR="006C7B30" w:rsidRPr="00F367E3" w:rsidTr="00F10584">
        <w:tc>
          <w:tcPr>
            <w:tcW w:w="3132" w:type="dxa"/>
          </w:tcPr>
          <w:p w:rsidR="006C7B30" w:rsidRPr="00F367E3" w:rsidRDefault="006C7B30" w:rsidP="00F10584">
            <w:pPr>
              <w:jc w:val="both"/>
              <w:rPr>
                <w:b/>
                <w:color w:val="000000" w:themeColor="text1"/>
              </w:rPr>
            </w:pPr>
            <w:r w:rsidRPr="00F367E3">
              <w:rPr>
                <w:b/>
                <w:color w:val="000000" w:themeColor="text1"/>
              </w:rPr>
              <w:t>Semilla certificada de maíz H59</w:t>
            </w:r>
          </w:p>
        </w:tc>
        <w:tc>
          <w:tcPr>
            <w:tcW w:w="3231" w:type="dxa"/>
            <w:vAlign w:val="center"/>
          </w:tcPr>
          <w:p w:rsidR="006C7B30" w:rsidRPr="00F367E3" w:rsidRDefault="006C7B30" w:rsidP="00F10584">
            <w:pPr>
              <w:jc w:val="center"/>
              <w:rPr>
                <w:b/>
                <w:color w:val="000000" w:themeColor="text1"/>
              </w:rPr>
            </w:pPr>
            <w:r w:rsidRPr="00F367E3">
              <w:rPr>
                <w:b/>
                <w:color w:val="000000" w:themeColor="text1"/>
              </w:rPr>
              <w:t>$9,903,705.90</w:t>
            </w:r>
          </w:p>
        </w:tc>
        <w:tc>
          <w:tcPr>
            <w:tcW w:w="2691" w:type="dxa"/>
          </w:tcPr>
          <w:p w:rsidR="006C7B30" w:rsidRPr="00F367E3" w:rsidRDefault="006C7B30" w:rsidP="00F1058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FONDOS GOES</w:t>
            </w:r>
          </w:p>
        </w:tc>
      </w:tr>
      <w:tr w:rsidR="006C7B30" w:rsidRPr="00F367E3" w:rsidTr="00F10584">
        <w:tc>
          <w:tcPr>
            <w:tcW w:w="3132" w:type="dxa"/>
          </w:tcPr>
          <w:p w:rsidR="006C7B30" w:rsidRPr="00F367E3" w:rsidRDefault="006C7B30" w:rsidP="00F10584">
            <w:pPr>
              <w:jc w:val="both"/>
              <w:rPr>
                <w:b/>
                <w:color w:val="000000" w:themeColor="text1"/>
              </w:rPr>
            </w:pPr>
            <w:r w:rsidRPr="00F367E3">
              <w:rPr>
                <w:b/>
                <w:color w:val="000000" w:themeColor="text1"/>
              </w:rPr>
              <w:t xml:space="preserve">Fertilizante </w:t>
            </w:r>
          </w:p>
        </w:tc>
        <w:tc>
          <w:tcPr>
            <w:tcW w:w="3231" w:type="dxa"/>
            <w:vAlign w:val="center"/>
          </w:tcPr>
          <w:p w:rsidR="006C7B30" w:rsidRPr="00F367E3" w:rsidRDefault="006C7B30" w:rsidP="00F1058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$7,178,993.97</w:t>
            </w:r>
          </w:p>
        </w:tc>
        <w:tc>
          <w:tcPr>
            <w:tcW w:w="2691" w:type="dxa"/>
          </w:tcPr>
          <w:p w:rsidR="006C7B30" w:rsidRPr="00F367E3" w:rsidRDefault="006C7B30" w:rsidP="00F1058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FONDOS GOES </w:t>
            </w:r>
          </w:p>
        </w:tc>
      </w:tr>
    </w:tbl>
    <w:p w:rsidR="006C7B30" w:rsidRDefault="006C7B30" w:rsidP="006C7B30">
      <w:pPr>
        <w:jc w:val="both"/>
        <w:rPr>
          <w:b/>
          <w:color w:val="000000" w:themeColor="text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8978"/>
      </w:tblGrid>
      <w:tr w:rsidR="006C7B30" w:rsidTr="00F10584">
        <w:tc>
          <w:tcPr>
            <w:tcW w:w="8978" w:type="dxa"/>
            <w:shd w:val="clear" w:color="auto" w:fill="DAEEF3" w:themeFill="accent5" w:themeFillTint="33"/>
          </w:tcPr>
          <w:p w:rsidR="006C7B30" w:rsidRPr="000210B4" w:rsidRDefault="006C7B30" w:rsidP="00F10584">
            <w:pPr>
              <w:jc w:val="both"/>
            </w:pPr>
            <w:r>
              <w:rPr>
                <w:b/>
                <w:color w:val="000000" w:themeColor="text1"/>
              </w:rPr>
              <w:t xml:space="preserve">Nota: </w:t>
            </w:r>
            <w:r w:rsidRPr="000210B4">
              <w:rPr>
                <w:color w:val="000000" w:themeColor="text1"/>
              </w:rPr>
              <w:t>Para el caso de la inversión</w:t>
            </w:r>
            <w:r>
              <w:rPr>
                <w:color w:val="000000" w:themeColor="text1"/>
              </w:rPr>
              <w:t xml:space="preserve"> en la compra de semilla mejorada de frijol</w:t>
            </w:r>
            <w:r w:rsidRPr="000210B4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no se puede proporcionar un dato, </w:t>
            </w:r>
            <w:r w:rsidRPr="000210B4">
              <w:rPr>
                <w:color w:val="000000" w:themeColor="text1"/>
              </w:rPr>
              <w:t xml:space="preserve">ya que nos encontramos aun el proceso de deliberación sobre las cantidades </w:t>
            </w:r>
            <w:r>
              <w:rPr>
                <w:color w:val="000000" w:themeColor="text1"/>
              </w:rPr>
              <w:t>de compra y los costos de adquisición para el año 2019.</w:t>
            </w:r>
          </w:p>
          <w:p w:rsidR="006C7B30" w:rsidRDefault="006C7B30" w:rsidP="006C7B30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En virtud de lo anteriormente descrito, </w:t>
            </w:r>
            <w:r w:rsidR="00771964">
              <w:rPr>
                <w:b/>
                <w:color w:val="000000" w:themeColor="text1"/>
              </w:rPr>
              <w:t>según la Ley de Acceso a la Información Pública (LAIP) es información</w:t>
            </w:r>
            <w:r>
              <w:rPr>
                <w:b/>
                <w:color w:val="000000" w:themeColor="text1"/>
              </w:rPr>
              <w:t xml:space="preserve"> reservada: </w:t>
            </w:r>
          </w:p>
          <w:p w:rsidR="006C7B30" w:rsidRPr="00771964" w:rsidRDefault="006C7B30" w:rsidP="00771964">
            <w:pPr>
              <w:jc w:val="both"/>
              <w:rPr>
                <w:rFonts w:eastAsia="Times New Roman" w:cstheme="minorHAnsi"/>
                <w:color w:val="000000"/>
                <w:sz w:val="24"/>
                <w:szCs w:val="25"/>
                <w:lang w:eastAsia="ar-SA"/>
              </w:rPr>
            </w:pPr>
            <w:r>
              <w:rPr>
                <w:b/>
                <w:color w:val="000000" w:themeColor="text1"/>
              </w:rPr>
              <w:t>Art. 19.</w:t>
            </w:r>
            <w:r w:rsidR="00771964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e. La que contenga opiniones o recomendaciones que formen parte del proceso deliberativo de los servidores público</w:t>
            </w:r>
            <w:r w:rsidR="00771964">
              <w:rPr>
                <w:b/>
                <w:color w:val="000000" w:themeColor="text1"/>
              </w:rPr>
              <w:t>s</w:t>
            </w:r>
            <w:r>
              <w:rPr>
                <w:b/>
                <w:color w:val="000000" w:themeColor="text1"/>
              </w:rPr>
              <w:t xml:space="preserve">, en tanto no sea adoptada la decisión definitiva. </w:t>
            </w:r>
          </w:p>
        </w:tc>
      </w:tr>
    </w:tbl>
    <w:p w:rsidR="006C7B30" w:rsidRDefault="006C7B30" w:rsidP="006C7B30">
      <w:pPr>
        <w:jc w:val="both"/>
        <w:rPr>
          <w:b/>
        </w:rPr>
      </w:pPr>
      <w:bookmarkStart w:id="0" w:name="_GoBack"/>
      <w:bookmarkEnd w:id="0"/>
      <w:r w:rsidRPr="00981DD3">
        <w:rPr>
          <w:b/>
        </w:rPr>
        <w:t>5. Beneficios que se esperan obtener con la entrega de paquetes agrícolas 2019  y cantidad de agricultores beneficiados.</w:t>
      </w:r>
    </w:p>
    <w:p w:rsidR="006C7B30" w:rsidRDefault="006C7B30" w:rsidP="006C7B30">
      <w:pPr>
        <w:pStyle w:val="Prrafodelista"/>
        <w:numPr>
          <w:ilvl w:val="0"/>
          <w:numId w:val="1"/>
        </w:numPr>
        <w:jc w:val="both"/>
        <w:rPr>
          <w:b/>
        </w:rPr>
      </w:pPr>
      <w:r>
        <w:t>Mejorar la seguridad alimentaria y reactivar la economía agrícola, a través de proveer paquetes agrícolas, a pequeños agricultores de subsistencia; y así reducir sus costos de producción.</w:t>
      </w:r>
    </w:p>
    <w:p w:rsidR="006C7B30" w:rsidRDefault="006C7B30" w:rsidP="006C7B30">
      <w:pPr>
        <w:pStyle w:val="Prrafodelista"/>
        <w:numPr>
          <w:ilvl w:val="0"/>
          <w:numId w:val="1"/>
        </w:numPr>
        <w:jc w:val="both"/>
        <w:rPr>
          <w:b/>
        </w:rPr>
      </w:pPr>
      <w:r>
        <w:t>Generación de empleos directos desde la siembra hasta la fase de recolección y el almacenamiento del grano.</w:t>
      </w:r>
    </w:p>
    <w:p w:rsidR="006C7B30" w:rsidRPr="002154E7" w:rsidRDefault="006C7B30" w:rsidP="006C7B30">
      <w:pPr>
        <w:pStyle w:val="Prrafodelista"/>
        <w:numPr>
          <w:ilvl w:val="0"/>
          <w:numId w:val="1"/>
        </w:numPr>
        <w:jc w:val="both"/>
        <w:rPr>
          <w:b/>
        </w:rPr>
      </w:pPr>
      <w:r>
        <w:t>Garantiza el acceso a los alimentos básicos para toda la población por dos vías: la disponibilidad suficiente y constante en las diferentes plazas de granos básicos para la alimentación y la estabilidad en los precios que les permite poder comprar una cantidad suficiente de granos básicos para la alimentación de los hogares, sin comprometer recursos que pueden utilizarse en otros bienes y/o servicios.</w:t>
      </w:r>
    </w:p>
    <w:p w:rsidR="006C7B30" w:rsidRDefault="006C7B30" w:rsidP="006C7B30">
      <w:pPr>
        <w:jc w:val="both"/>
        <w:rPr>
          <w:b/>
          <w:color w:val="000000" w:themeColor="text1"/>
        </w:rPr>
      </w:pPr>
      <w:r w:rsidRPr="00A3411C">
        <w:rPr>
          <w:b/>
          <w:color w:val="000000" w:themeColor="text1"/>
        </w:rPr>
        <w:t>6. Monto del presupuesto aprobado del MAG para 2019 destinado a la inversión en paquetes agrícolas.</w:t>
      </w:r>
    </w:p>
    <w:p w:rsidR="006C7B30" w:rsidRPr="006C7B30" w:rsidRDefault="006C7B30" w:rsidP="006C7B30">
      <w:pPr>
        <w:jc w:val="both"/>
        <w:rPr>
          <w:color w:val="000000" w:themeColor="text1"/>
        </w:rPr>
      </w:pPr>
      <w:r>
        <w:rPr>
          <w:color w:val="000000" w:themeColor="text1"/>
        </w:rPr>
        <w:t>$25590,689.00</w:t>
      </w:r>
    </w:p>
    <w:sectPr w:rsidR="006C7B30" w:rsidRPr="006C7B30" w:rsidSect="00FB3AD9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701" w:bottom="1418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DE" w:rsidRDefault="00AE6CDE" w:rsidP="00063E85">
      <w:pPr>
        <w:spacing w:after="0" w:line="240" w:lineRule="auto"/>
      </w:pPr>
      <w:r>
        <w:separator/>
      </w:r>
    </w:p>
  </w:endnote>
  <w:endnote w:type="continuationSeparator" w:id="0">
    <w:p w:rsidR="00AE6CDE" w:rsidRDefault="00AE6CDE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B1C" w:rsidRPr="009865F0" w:rsidRDefault="003D4B1C" w:rsidP="003D4B1C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  <w:r w:rsidRPr="009865F0">
      <w:rPr>
        <w:rFonts w:ascii="ITC Avant Garde Std Bk" w:hAnsi="ITC Avant Garde Std Bk"/>
        <w:noProof/>
        <w:color w:val="548DD4"/>
        <w:lang w:val="es-SV" w:eastAsia="es-SV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BC45E74" wp14:editId="37688E1D">
              <wp:simplePos x="0" y="0"/>
              <wp:positionH relativeFrom="column">
                <wp:posOffset>-946786</wp:posOffset>
              </wp:positionH>
              <wp:positionV relativeFrom="paragraph">
                <wp:posOffset>52705</wp:posOffset>
              </wp:positionV>
              <wp:extent cx="7115175" cy="409575"/>
              <wp:effectExtent l="0" t="0" r="0" b="9525"/>
              <wp:wrapNone/>
              <wp:docPr id="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1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1C" w:rsidRPr="00ED3D91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Final 1a. Avenida Norte, 13 Calle Oriente y Av. Manuel Gallardo. Santa Tecla, La Libertad</w:t>
                          </w:r>
                        </w:p>
                        <w:p w:rsidR="003D4B1C" w:rsidRPr="001D57DE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Tel: (503) 2210-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1813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 xml:space="preserve"> || Correo: 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luis.vargas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@mag.gob.sv</w:t>
                          </w:r>
                        </w:p>
                        <w:p w:rsidR="003D4B1C" w:rsidRPr="009865F0" w:rsidRDefault="003D4B1C" w:rsidP="003D4B1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5E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4.55pt;margin-top:4.15pt;width:560.2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3b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" filled="f" stroked="f">
              <v:textbox>
                <w:txbxContent>
                  <w:p w:rsidR="003D4B1C" w:rsidRPr="00ED3D91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Final 1a. Avenida Norte, 13 Calle Oriente y Av. Manuel Gallardo. Santa Tecla, La Libertad</w:t>
                    </w:r>
                  </w:p>
                  <w:p w:rsidR="003D4B1C" w:rsidRPr="001D57DE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Tel: (503) 2210-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1813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 xml:space="preserve"> || Correo: 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luis.vargas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@mag.gob.sv</w:t>
                    </w:r>
                  </w:p>
                  <w:p w:rsidR="003D4B1C" w:rsidRPr="009865F0" w:rsidRDefault="003D4B1C" w:rsidP="003D4B1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865F0">
      <w:rPr>
        <w:rFonts w:ascii="ITC Avant Garde Std Bk" w:hAnsi="ITC Avant Garde Std Bk"/>
        <w:noProof/>
        <w:color w:val="548DD4"/>
        <w:lang w:val="es-SV" w:eastAsia="es-SV"/>
      </w:rPr>
      <w:drawing>
        <wp:anchor distT="0" distB="0" distL="114300" distR="114300" simplePos="0" relativeHeight="251666944" behindDoc="1" locked="0" layoutInCell="1" allowOverlap="1" wp14:anchorId="4120BFAF" wp14:editId="20666B8D">
          <wp:simplePos x="0" y="0"/>
          <wp:positionH relativeFrom="margin">
            <wp:align>center</wp:align>
          </wp:positionH>
          <wp:positionV relativeFrom="paragraph">
            <wp:posOffset>-299720</wp:posOffset>
          </wp:positionV>
          <wp:extent cx="2117916" cy="495300"/>
          <wp:effectExtent l="0" t="0" r="0" b="0"/>
          <wp:wrapNone/>
          <wp:docPr id="12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916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DE" w:rsidRDefault="00AE6CDE" w:rsidP="00063E85">
      <w:pPr>
        <w:spacing w:after="0" w:line="240" w:lineRule="auto"/>
      </w:pPr>
      <w:r>
        <w:separator/>
      </w:r>
    </w:p>
  </w:footnote>
  <w:footnote w:type="continuationSeparator" w:id="0">
    <w:p w:rsidR="00AE6CDE" w:rsidRDefault="00AE6CDE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14556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0364E9">
    <w:pPr>
      <w:pStyle w:val="Encabezado"/>
    </w:pPr>
    <w:r w:rsidRPr="000364E9">
      <w:rPr>
        <w:noProof/>
        <w:lang w:val="es-SV" w:eastAsia="es-SV"/>
      </w:rPr>
      <w:drawing>
        <wp:anchor distT="0" distB="0" distL="114300" distR="114300" simplePos="0" relativeHeight="251668992" behindDoc="0" locked="0" layoutInCell="1" allowOverlap="1" wp14:anchorId="0732D589" wp14:editId="44369966">
          <wp:simplePos x="0" y="0"/>
          <wp:positionH relativeFrom="margin">
            <wp:posOffset>4200525</wp:posOffset>
          </wp:positionH>
          <wp:positionV relativeFrom="paragraph">
            <wp:posOffset>-249555</wp:posOffset>
          </wp:positionV>
          <wp:extent cx="1733550" cy="1085850"/>
          <wp:effectExtent l="0" t="0" r="0" b="0"/>
          <wp:wrapNone/>
          <wp:docPr id="3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33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56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5" o:spid="_x0000_s2051" type="#_x0000_t75" style="position:absolute;margin-left:0;margin-top:0;width:434.95pt;height:449.2pt;z-index:-251657728;mso-position-horizontal:center;mso-position-horizontal-relative:margin;mso-position-vertical:center;mso-position-vertical-relative:margin" o:allowincell="f">
          <v:imagedata r:id="rId2" o:title="esc"/>
          <w10:wrap anchorx="margin" anchory="margin"/>
        </v:shape>
      </w:pict>
    </w:r>
  </w:p>
  <w:p w:rsidR="00C51218" w:rsidRDefault="00C51218">
    <w:pPr>
      <w:pStyle w:val="Encabezado"/>
    </w:pPr>
  </w:p>
  <w:p w:rsidR="00C51218" w:rsidRDefault="000364E9">
    <w:pPr>
      <w:pStyle w:val="Encabezado"/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1E05C7BA" wp14:editId="5ECBEE87">
              <wp:extent cx="304800" cy="304800"/>
              <wp:effectExtent l="0" t="0" r="0" b="0"/>
              <wp:docPr id="1" name="Rectángulo 1" descr="https://mail.mag.gob.sv/service/home/~/?auth=co&amp;loc=es&amp;id=15572&amp;part=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FA7B6D" id="Rectángulo 1" o:spid="_x0000_s1026" alt="https://mail.mag.gob.sv/service/home/~/?auth=co&amp;loc=es&amp;id=15572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PQDsk9AIAABQG&#10;AAAOAAAAAAAAAAAAAAAAAC4CAABkcnMvZTJvRG9jLnhtbFBLAQItABQABgAIAAAAIQBMoOks2AAA&#10;AAMBAAAPAAAAAAAAAAAAAAAAAE4FAABkcnMvZG93bnJldi54bWxQSwUGAAAAAAQABADzAAAAUwYA&#10;AAAA&#10;" filled="f" stroked="f">
              <o:lock v:ext="edit" aspectratio="t"/>
              <w10:anchorlock/>
            </v:rect>
          </w:pict>
        </mc:Fallback>
      </mc:AlternateContent>
    </w: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14556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14078"/>
    <w:multiLevelType w:val="hybridMultilevel"/>
    <w:tmpl w:val="F0B27CB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A3F"/>
    <w:rsid w:val="00010C6E"/>
    <w:rsid w:val="000138F5"/>
    <w:rsid w:val="000364E9"/>
    <w:rsid w:val="00041288"/>
    <w:rsid w:val="00045A61"/>
    <w:rsid w:val="00050681"/>
    <w:rsid w:val="00063E85"/>
    <w:rsid w:val="0007150B"/>
    <w:rsid w:val="000C123E"/>
    <w:rsid w:val="000C3CBD"/>
    <w:rsid w:val="000F0A15"/>
    <w:rsid w:val="00116AC0"/>
    <w:rsid w:val="001302A7"/>
    <w:rsid w:val="00144210"/>
    <w:rsid w:val="00145563"/>
    <w:rsid w:val="00157DF0"/>
    <w:rsid w:val="001839CD"/>
    <w:rsid w:val="001B4253"/>
    <w:rsid w:val="001B6AAC"/>
    <w:rsid w:val="001D0F6A"/>
    <w:rsid w:val="001D77F6"/>
    <w:rsid w:val="001E4A41"/>
    <w:rsid w:val="001E7B10"/>
    <w:rsid w:val="001F20CB"/>
    <w:rsid w:val="00207817"/>
    <w:rsid w:val="00230C07"/>
    <w:rsid w:val="00237B45"/>
    <w:rsid w:val="002468B9"/>
    <w:rsid w:val="0024747C"/>
    <w:rsid w:val="002A0C96"/>
    <w:rsid w:val="002C466D"/>
    <w:rsid w:val="002C7C49"/>
    <w:rsid w:val="002D4E3D"/>
    <w:rsid w:val="002D55AE"/>
    <w:rsid w:val="002E2788"/>
    <w:rsid w:val="002E33BE"/>
    <w:rsid w:val="002F5474"/>
    <w:rsid w:val="00301A65"/>
    <w:rsid w:val="00335409"/>
    <w:rsid w:val="00363C6B"/>
    <w:rsid w:val="00382CCC"/>
    <w:rsid w:val="00396846"/>
    <w:rsid w:val="003A340C"/>
    <w:rsid w:val="003C5DAC"/>
    <w:rsid w:val="003D4B1C"/>
    <w:rsid w:val="003D548C"/>
    <w:rsid w:val="0040003F"/>
    <w:rsid w:val="004312B5"/>
    <w:rsid w:val="00465E6B"/>
    <w:rsid w:val="00481EB7"/>
    <w:rsid w:val="004A2C2B"/>
    <w:rsid w:val="004A518E"/>
    <w:rsid w:val="004D3B37"/>
    <w:rsid w:val="004E01F0"/>
    <w:rsid w:val="004E4167"/>
    <w:rsid w:val="00502D54"/>
    <w:rsid w:val="00502EEC"/>
    <w:rsid w:val="0050715E"/>
    <w:rsid w:val="0055738F"/>
    <w:rsid w:val="0056103F"/>
    <w:rsid w:val="00580509"/>
    <w:rsid w:val="005934B2"/>
    <w:rsid w:val="005A1EE9"/>
    <w:rsid w:val="005B361B"/>
    <w:rsid w:val="005E078A"/>
    <w:rsid w:val="005E320B"/>
    <w:rsid w:val="005E4113"/>
    <w:rsid w:val="006114F3"/>
    <w:rsid w:val="0061184E"/>
    <w:rsid w:val="0062140E"/>
    <w:rsid w:val="00643C09"/>
    <w:rsid w:val="006751CB"/>
    <w:rsid w:val="00695919"/>
    <w:rsid w:val="006A09C7"/>
    <w:rsid w:val="006C0D8B"/>
    <w:rsid w:val="006C7B30"/>
    <w:rsid w:val="006D24FE"/>
    <w:rsid w:val="006F6B20"/>
    <w:rsid w:val="00706BC7"/>
    <w:rsid w:val="0071274E"/>
    <w:rsid w:val="00721399"/>
    <w:rsid w:val="0073185B"/>
    <w:rsid w:val="0075138E"/>
    <w:rsid w:val="007637BA"/>
    <w:rsid w:val="00770012"/>
    <w:rsid w:val="00771964"/>
    <w:rsid w:val="007750D2"/>
    <w:rsid w:val="00780DBC"/>
    <w:rsid w:val="00784CA9"/>
    <w:rsid w:val="007A44ED"/>
    <w:rsid w:val="007B0623"/>
    <w:rsid w:val="007C05FF"/>
    <w:rsid w:val="007E15F3"/>
    <w:rsid w:val="00803A5A"/>
    <w:rsid w:val="00805CD3"/>
    <w:rsid w:val="00822E26"/>
    <w:rsid w:val="00823399"/>
    <w:rsid w:val="008314C8"/>
    <w:rsid w:val="00834093"/>
    <w:rsid w:val="00836961"/>
    <w:rsid w:val="00872489"/>
    <w:rsid w:val="008850CA"/>
    <w:rsid w:val="00891372"/>
    <w:rsid w:val="00891537"/>
    <w:rsid w:val="008949D8"/>
    <w:rsid w:val="008A66EB"/>
    <w:rsid w:val="008A6BFF"/>
    <w:rsid w:val="008B4391"/>
    <w:rsid w:val="008C48B0"/>
    <w:rsid w:val="008D1186"/>
    <w:rsid w:val="008F05D6"/>
    <w:rsid w:val="00912617"/>
    <w:rsid w:val="00914E44"/>
    <w:rsid w:val="009173DB"/>
    <w:rsid w:val="009175F6"/>
    <w:rsid w:val="00924379"/>
    <w:rsid w:val="00924FC6"/>
    <w:rsid w:val="00954F81"/>
    <w:rsid w:val="00964F9B"/>
    <w:rsid w:val="00980649"/>
    <w:rsid w:val="009865F0"/>
    <w:rsid w:val="009C2013"/>
    <w:rsid w:val="009C2588"/>
    <w:rsid w:val="009E4473"/>
    <w:rsid w:val="00A008BC"/>
    <w:rsid w:val="00A11C79"/>
    <w:rsid w:val="00A240CE"/>
    <w:rsid w:val="00A30994"/>
    <w:rsid w:val="00A56357"/>
    <w:rsid w:val="00A56F4B"/>
    <w:rsid w:val="00A82487"/>
    <w:rsid w:val="00AA7244"/>
    <w:rsid w:val="00AC23F0"/>
    <w:rsid w:val="00AD4738"/>
    <w:rsid w:val="00AD71B4"/>
    <w:rsid w:val="00AE1D69"/>
    <w:rsid w:val="00AE378F"/>
    <w:rsid w:val="00AE6CDE"/>
    <w:rsid w:val="00AF5951"/>
    <w:rsid w:val="00B71BAC"/>
    <w:rsid w:val="00BE6BD1"/>
    <w:rsid w:val="00BF5914"/>
    <w:rsid w:val="00C00F22"/>
    <w:rsid w:val="00C51218"/>
    <w:rsid w:val="00C56DEF"/>
    <w:rsid w:val="00C57590"/>
    <w:rsid w:val="00C77D5D"/>
    <w:rsid w:val="00C801A4"/>
    <w:rsid w:val="00CB1F7C"/>
    <w:rsid w:val="00CC6F12"/>
    <w:rsid w:val="00CE08CB"/>
    <w:rsid w:val="00CE470F"/>
    <w:rsid w:val="00D011E9"/>
    <w:rsid w:val="00D0217C"/>
    <w:rsid w:val="00D06460"/>
    <w:rsid w:val="00D230F2"/>
    <w:rsid w:val="00D43E5C"/>
    <w:rsid w:val="00D463A1"/>
    <w:rsid w:val="00D53863"/>
    <w:rsid w:val="00D71CD9"/>
    <w:rsid w:val="00D766A4"/>
    <w:rsid w:val="00D81EFF"/>
    <w:rsid w:val="00D93120"/>
    <w:rsid w:val="00DB360E"/>
    <w:rsid w:val="00DD1DAE"/>
    <w:rsid w:val="00E152E0"/>
    <w:rsid w:val="00E637CD"/>
    <w:rsid w:val="00E714E1"/>
    <w:rsid w:val="00E85D49"/>
    <w:rsid w:val="00E8701C"/>
    <w:rsid w:val="00EA7418"/>
    <w:rsid w:val="00EB016C"/>
    <w:rsid w:val="00ED3D91"/>
    <w:rsid w:val="00F064D0"/>
    <w:rsid w:val="00F12F33"/>
    <w:rsid w:val="00F162F4"/>
    <w:rsid w:val="00F543A2"/>
    <w:rsid w:val="00F64508"/>
    <w:rsid w:val="00F708E3"/>
    <w:rsid w:val="00F87B03"/>
    <w:rsid w:val="00FA1B46"/>
    <w:rsid w:val="00FB3AD9"/>
    <w:rsid w:val="00FC20C0"/>
    <w:rsid w:val="00FD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D22F04F-B90F-4A55-973E-7463BED2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71CD9"/>
    <w:pPr>
      <w:spacing w:after="0" w:line="240" w:lineRule="auto"/>
    </w:pPr>
    <w:rPr>
      <w:rFonts w:eastAsiaTheme="minorHAnsi"/>
      <w:lang w:val="es-SV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71CD9"/>
    <w:pPr>
      <w:ind w:left="720"/>
      <w:contextualSpacing/>
    </w:pPr>
    <w:rPr>
      <w:rFonts w:eastAsiaTheme="minorHAnsi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5454-CDB1-437B-8106-CA5F3CD7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salomon cruz</cp:lastModifiedBy>
  <cp:revision>3</cp:revision>
  <cp:lastPrinted>2018-07-06T20:36:00Z</cp:lastPrinted>
  <dcterms:created xsi:type="dcterms:W3CDTF">2019-04-11T14:26:00Z</dcterms:created>
  <dcterms:modified xsi:type="dcterms:W3CDTF">2019-04-26T04:24:00Z</dcterms:modified>
</cp:coreProperties>
</file>