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536" w:rsidRDefault="006C26F4" w:rsidP="00033680">
      <w:pPr>
        <w:tabs>
          <w:tab w:val="left" w:pos="5115"/>
        </w:tabs>
        <w:spacing w:after="0" w:line="240" w:lineRule="auto"/>
        <w:jc w:val="center"/>
        <w:rPr>
          <w:rFonts w:eastAsia="Arial Unicode MS" w:cstheme="minorHAnsi"/>
          <w:b/>
          <w:color w:val="000066"/>
          <w:sz w:val="24"/>
          <w:lang w:val="es-SV"/>
        </w:rPr>
      </w:pPr>
      <w:r w:rsidRPr="008F7046">
        <w:rPr>
          <w:rFonts w:eastAsia="Arial Unicode MS"/>
          <w:color w:val="C00000"/>
          <w:sz w:val="18"/>
        </w:rPr>
        <w:t>Versión pública de acuerdo a lo dispuesto en el Art. 30 de la LAIP, se</w:t>
      </w:r>
      <w:r>
        <w:rPr>
          <w:rFonts w:eastAsia="Arial Unicode MS"/>
          <w:color w:val="C00000"/>
          <w:sz w:val="18"/>
        </w:rPr>
        <w:t xml:space="preserve"> elimina </w:t>
      </w:r>
      <w:r w:rsidRPr="008F7046">
        <w:rPr>
          <w:rFonts w:eastAsia="Arial Unicode MS"/>
          <w:color w:val="C00000"/>
          <w:sz w:val="18"/>
        </w:rPr>
        <w:t xml:space="preserve"> </w:t>
      </w:r>
      <w:r w:rsidRPr="00A63F30">
        <w:rPr>
          <w:rFonts w:eastAsia="Arial Unicode MS"/>
          <w:color w:val="C00000"/>
          <w:sz w:val="18"/>
          <w:u w:val="single"/>
        </w:rPr>
        <w:t>el nombre</w:t>
      </w:r>
      <w:r w:rsidRPr="008F7046">
        <w:rPr>
          <w:rFonts w:eastAsia="Arial Unicode MS"/>
          <w:color w:val="C00000"/>
          <w:sz w:val="18"/>
        </w:rPr>
        <w:t xml:space="preserve"> por ser información </w:t>
      </w:r>
      <w:r>
        <w:rPr>
          <w:rFonts w:eastAsia="Arial Unicode MS"/>
          <w:color w:val="C00000"/>
          <w:sz w:val="18"/>
        </w:rPr>
        <w:t xml:space="preserve">que  vuelve identificable al (la) solicitante según el </w:t>
      </w:r>
      <w:r w:rsidRPr="008F7046">
        <w:rPr>
          <w:rFonts w:eastAsia="Arial Unicode MS"/>
          <w:color w:val="C00000"/>
          <w:sz w:val="18"/>
        </w:rPr>
        <w:t>Art. 6 literal “</w:t>
      </w:r>
      <w:r>
        <w:rPr>
          <w:rFonts w:eastAsia="Arial Unicode MS"/>
          <w:color w:val="C00000"/>
          <w:sz w:val="18"/>
        </w:rPr>
        <w:t>a</w:t>
      </w:r>
      <w:r w:rsidRPr="008F7046">
        <w:rPr>
          <w:rFonts w:eastAsia="Arial Unicode MS"/>
          <w:color w:val="C00000"/>
          <w:sz w:val="18"/>
        </w:rPr>
        <w:t xml:space="preserve">”; y </w:t>
      </w:r>
      <w:r>
        <w:rPr>
          <w:rFonts w:eastAsia="Arial Unicode MS"/>
          <w:color w:val="C00000"/>
          <w:sz w:val="18"/>
        </w:rPr>
        <w:t xml:space="preserve">al </w:t>
      </w:r>
      <w:r w:rsidRPr="008F7046">
        <w:rPr>
          <w:rFonts w:eastAsia="Arial Unicode MS"/>
          <w:color w:val="C00000"/>
          <w:sz w:val="18"/>
        </w:rPr>
        <w:t>Art 19, todos de la LAIP</w:t>
      </w:r>
      <w:r>
        <w:rPr>
          <w:rFonts w:eastAsia="Arial Unicode MS"/>
          <w:color w:val="C00000"/>
          <w:sz w:val="18"/>
        </w:rPr>
        <w:t xml:space="preserve">. El dato se ubicaba en las </w:t>
      </w:r>
      <w:r w:rsidRPr="00A63F30">
        <w:rPr>
          <w:rFonts w:eastAsia="Arial Unicode MS"/>
          <w:color w:val="C00000"/>
          <w:sz w:val="18"/>
          <w:u w:val="single"/>
        </w:rPr>
        <w:t>pág</w:t>
      </w:r>
      <w:r>
        <w:rPr>
          <w:rFonts w:eastAsia="Arial Unicode MS"/>
          <w:color w:val="C00000"/>
          <w:sz w:val="18"/>
          <w:u w:val="single"/>
        </w:rPr>
        <w:t>ina 1</w:t>
      </w:r>
      <w:r w:rsidRPr="00A63F30">
        <w:rPr>
          <w:rFonts w:eastAsia="Arial Unicode MS"/>
          <w:color w:val="C00000"/>
          <w:sz w:val="18"/>
          <w:u w:val="single"/>
        </w:rPr>
        <w:t xml:space="preserve"> </w:t>
      </w:r>
      <w:r>
        <w:rPr>
          <w:rFonts w:eastAsia="Arial Unicode MS"/>
          <w:color w:val="C00000"/>
          <w:sz w:val="18"/>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1A0133">
        <w:rPr>
          <w:rFonts w:eastAsia="Arial Unicode MS" w:cstheme="minorHAnsi"/>
          <w:b/>
          <w:color w:val="000066"/>
          <w:sz w:val="24"/>
          <w:u w:val="single"/>
          <w:lang w:val="es-SV"/>
        </w:rPr>
        <w:t>7</w:t>
      </w:r>
      <w:r w:rsidR="00EF40B2">
        <w:rPr>
          <w:rFonts w:eastAsia="Arial Unicode MS" w:cstheme="minorHAnsi"/>
          <w:b/>
          <w:color w:val="000066"/>
          <w:sz w:val="24"/>
          <w:u w:val="single"/>
          <w:lang w:val="es-SV"/>
        </w:rPr>
        <w:t>6</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EF40B2">
        <w:rPr>
          <w:rFonts w:ascii="Calibri" w:eastAsia="Arial Unicode MS" w:hAnsi="Calibri" w:cs="Arial Unicode MS"/>
          <w:color w:val="000066"/>
          <w:lang w:eastAsia="es-SV"/>
        </w:rPr>
        <w:t xml:space="preserve">dieciséis horas con quince minutos </w:t>
      </w:r>
      <w:r w:rsidRPr="005E176D">
        <w:rPr>
          <w:rFonts w:ascii="Calibri" w:eastAsia="Arial Unicode MS" w:hAnsi="Calibri" w:cs="Arial Unicode MS"/>
          <w:color w:val="000066"/>
          <w:lang w:eastAsia="es-SV"/>
        </w:rPr>
        <w:t xml:space="preserve">del día </w:t>
      </w:r>
      <w:r w:rsidR="00EF40B2">
        <w:rPr>
          <w:rFonts w:ascii="Calibri" w:eastAsia="Arial Unicode MS" w:hAnsi="Calibri" w:cs="Arial Unicode MS"/>
          <w:color w:val="000066"/>
          <w:lang w:eastAsia="es-SV"/>
        </w:rPr>
        <w:t>ocho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EF40B2">
        <w:rPr>
          <w:rFonts w:ascii="Calibri" w:eastAsia="Arial Unicode MS" w:hAnsi="Calibri" w:cs="Arial Unicode MS"/>
          <w:b/>
          <w:color w:val="000066"/>
          <w:lang w:eastAsia="es-SV"/>
        </w:rPr>
        <w:t>76</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6C26F4">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6C26F4">
        <w:rPr>
          <w:rFonts w:eastAsia="Arial Unicode MS" w:cstheme="minorHAnsi"/>
          <w:b/>
          <w:color w:val="000066"/>
          <w:lang w:eastAsia="es-SV"/>
        </w:rPr>
        <w:t>xxxx</w:t>
      </w:r>
      <w:proofErr w:type="spellEnd"/>
      <w:r w:rsidRPr="005E176D">
        <w:rPr>
          <w:rFonts w:ascii="Calibri" w:eastAsia="Arial Unicode MS" w:hAnsi="Calibri" w:cs="Arial Unicode MS"/>
          <w:lang w:eastAsia="es-SV"/>
        </w:rPr>
        <w:t xml:space="preserve"> 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5A7C95"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F40B2">
        <w:rPr>
          <w:rFonts w:asciiTheme="minorHAnsi" w:eastAsia="Arial Unicode MS" w:hAnsiTheme="minorHAnsi" w:cstheme="minorHAnsi"/>
          <w:i/>
          <w:color w:val="000066"/>
          <w:sz w:val="22"/>
          <w:szCs w:val="22"/>
          <w:lang w:eastAsia="es-SV"/>
        </w:rPr>
        <w:t>v</w:t>
      </w:r>
      <w:r w:rsidR="00EA659F">
        <w:rPr>
          <w:rFonts w:asciiTheme="minorHAnsi" w:eastAsia="Arial Unicode MS" w:hAnsiTheme="minorHAnsi" w:cstheme="minorHAnsi"/>
          <w:i/>
          <w:color w:val="000066"/>
          <w:sz w:val="22"/>
          <w:szCs w:val="22"/>
          <w:lang w:eastAsia="es-SV"/>
        </w:rPr>
        <w:t>e</w:t>
      </w:r>
      <w:r w:rsidR="00EF40B2">
        <w:rPr>
          <w:rFonts w:asciiTheme="minorHAnsi" w:eastAsia="Arial Unicode MS" w:hAnsiTheme="minorHAnsi" w:cstheme="minorHAnsi"/>
          <w:i/>
          <w:color w:val="000066"/>
          <w:sz w:val="22"/>
          <w:szCs w:val="22"/>
          <w:lang w:eastAsia="es-SV"/>
        </w:rPr>
        <w:t>intitrés</w:t>
      </w:r>
      <w:r w:rsidR="00EA659F">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 xml:space="preserve">de abril </w:t>
      </w:r>
      <w:r w:rsidR="00DC560F" w:rsidRPr="005E176D">
        <w:rPr>
          <w:rFonts w:asciiTheme="minorHAnsi" w:eastAsia="Arial Unicode MS" w:hAnsiTheme="minorHAnsi" w:cstheme="minorHAnsi"/>
          <w:sz w:val="22"/>
          <w:szCs w:val="22"/>
          <w:lang w:eastAsia="es-SV"/>
        </w:rPr>
        <w:t xml:space="preserve">de dos mil diecinueve a las </w:t>
      </w:r>
      <w:r w:rsidR="00EF40B2">
        <w:rPr>
          <w:rFonts w:asciiTheme="minorHAnsi" w:eastAsia="Arial Unicode MS" w:hAnsiTheme="minorHAnsi" w:cstheme="minorHAnsi"/>
          <w:i/>
          <w:color w:val="000066"/>
          <w:sz w:val="22"/>
          <w:szCs w:val="22"/>
          <w:lang w:eastAsia="es-SV"/>
        </w:rPr>
        <w:t xml:space="preserve">once </w:t>
      </w:r>
      <w:r w:rsidR="00EA659F">
        <w:rPr>
          <w:rFonts w:asciiTheme="minorHAnsi" w:eastAsia="Arial Unicode MS" w:hAnsiTheme="minorHAnsi" w:cstheme="minorHAnsi"/>
          <w:i/>
          <w:color w:val="000066"/>
          <w:sz w:val="22"/>
          <w:szCs w:val="22"/>
          <w:lang w:eastAsia="es-SV"/>
        </w:rPr>
        <w:t>h</w:t>
      </w:r>
      <w:r>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sidR="00EF40B2">
        <w:rPr>
          <w:rFonts w:asciiTheme="minorHAnsi" w:eastAsia="Arial Unicode MS" w:hAnsiTheme="minorHAnsi" w:cstheme="minorHAnsi"/>
          <w:i/>
          <w:color w:val="000066"/>
          <w:sz w:val="22"/>
          <w:szCs w:val="22"/>
          <w:lang w:eastAsia="es-SV"/>
        </w:rPr>
        <w:t>cincuenta y nueve</w:t>
      </w:r>
      <w:r w:rsidR="000D6F76">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EF40B2" w:rsidRPr="00EF40B2">
        <w:rPr>
          <w:rFonts w:asciiTheme="minorHAnsi" w:eastAsia="Arial Unicode MS" w:hAnsiTheme="minorHAnsi" w:cstheme="minorHAnsi"/>
          <w:color w:val="000066"/>
          <w:sz w:val="22"/>
          <w:szCs w:val="22"/>
          <w:lang w:eastAsia="es-SV"/>
        </w:rPr>
        <w:t>de manera presencial en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EA659F" w:rsidRPr="00EA659F">
        <w:rPr>
          <w:rFonts w:asciiTheme="minorHAnsi" w:eastAsia="Arial Unicode MS" w:hAnsiTheme="minorHAnsi" w:cstheme="minorHAnsi"/>
          <w:i/>
          <w:color w:val="000066"/>
          <w:sz w:val="22"/>
          <w:szCs w:val="22"/>
          <w:lang w:eastAsia="es-SV"/>
        </w:rPr>
        <w:t>veinti</w:t>
      </w:r>
      <w:r w:rsidR="00EF40B2">
        <w:rPr>
          <w:rFonts w:asciiTheme="minorHAnsi" w:eastAsia="Arial Unicode MS" w:hAnsiTheme="minorHAnsi" w:cstheme="minorHAnsi"/>
          <w:i/>
          <w:color w:val="000066"/>
          <w:sz w:val="22"/>
          <w:szCs w:val="22"/>
          <w:lang w:eastAsia="es-SV"/>
        </w:rPr>
        <w:t>cuatro</w:t>
      </w:r>
      <w:r w:rsidR="00EA659F" w:rsidRPr="00EA659F">
        <w:rPr>
          <w:rFonts w:asciiTheme="minorHAnsi" w:eastAsia="Arial Unicode MS" w:hAnsiTheme="minorHAnsi" w:cstheme="minorHAnsi"/>
          <w:i/>
          <w:color w:val="000066"/>
          <w:sz w:val="22"/>
          <w:szCs w:val="22"/>
          <w:lang w:eastAsia="es-SV"/>
        </w:rPr>
        <w:t xml:space="preserve"> de abril</w:t>
      </w:r>
      <w:r w:rsidR="00DC560F" w:rsidRPr="005E176D">
        <w:rPr>
          <w:rFonts w:asciiTheme="minorHAnsi" w:eastAsia="Arial Unicode MS" w:hAnsiTheme="minorHAnsi" w:cstheme="minorHAnsi"/>
          <w:sz w:val="22"/>
          <w:szCs w:val="22"/>
          <w:lang w:eastAsia="es-SV"/>
        </w:rPr>
        <w:t>, en la cual solicita lo siguiente:</w:t>
      </w:r>
    </w:p>
    <w:p w:rsidR="00630FA6"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b/>
          <w:color w:val="000066"/>
          <w:sz w:val="22"/>
          <w:szCs w:val="22"/>
          <w:lang w:eastAsia="es-ES"/>
        </w:rPr>
      </w:pPr>
      <w:r w:rsidRPr="00EF40B2">
        <w:rPr>
          <w:rFonts w:asciiTheme="minorHAnsi" w:eastAsia="Arial Unicode MS" w:hAnsiTheme="minorHAnsi" w:cstheme="minorHAnsi"/>
          <w:b/>
          <w:color w:val="000066"/>
          <w:sz w:val="22"/>
          <w:szCs w:val="22"/>
          <w:lang w:eastAsia="es-ES"/>
        </w:rPr>
        <w:t>a. Instrumentos para la formulación de presupuesto institucional 2019:</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2: Detalle institucional por unidad presupuestaria</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5: Variación de gastos por unidad presupuestaria, línea de trabajo, rubro, cuenta y objeto específico.</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6: Variación de resultados físicos y financieros</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7: Programación física y financiera de gastos</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8: Consolidado de proyectos de inversión</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9: Detalle de proyectos de inversión</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10: Presupuesto institucional de ingresos.</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11: Programación mensual de ingresos</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12: Información sobre préstamos externos, internos y donaciones</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EF40B2">
        <w:rPr>
          <w:rFonts w:asciiTheme="minorHAnsi" w:eastAsia="Arial Unicode MS" w:hAnsiTheme="minorHAnsi" w:cstheme="minorHAnsi"/>
          <w:color w:val="000066"/>
          <w:sz w:val="22"/>
          <w:szCs w:val="22"/>
          <w:lang w:eastAsia="es-ES"/>
        </w:rPr>
        <w:t>Plan 13: Transferencias corrientes (subvenciones y subsidios) y de capital.</w:t>
      </w: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p>
    <w:p w:rsidR="00EF40B2" w:rsidRPr="00EF40B2" w:rsidRDefault="00EF40B2" w:rsidP="00EF40B2">
      <w:pPr>
        <w:pStyle w:val="Prrafodelista"/>
        <w:autoSpaceDE w:val="0"/>
        <w:autoSpaceDN w:val="0"/>
        <w:adjustRightInd w:val="0"/>
        <w:snapToGrid w:val="0"/>
        <w:ind w:left="720"/>
        <w:jc w:val="both"/>
        <w:rPr>
          <w:rFonts w:asciiTheme="minorHAnsi" w:eastAsia="Arial Unicode MS" w:hAnsiTheme="minorHAnsi" w:cstheme="minorHAnsi"/>
          <w:b/>
          <w:color w:val="000066"/>
          <w:sz w:val="22"/>
          <w:szCs w:val="22"/>
          <w:lang w:eastAsia="es-ES"/>
        </w:rPr>
      </w:pPr>
      <w:r w:rsidRPr="00EF40B2">
        <w:rPr>
          <w:rFonts w:asciiTheme="minorHAnsi" w:eastAsia="Arial Unicode MS" w:hAnsiTheme="minorHAnsi" w:cstheme="minorHAnsi"/>
          <w:b/>
          <w:color w:val="000066"/>
          <w:sz w:val="22"/>
          <w:szCs w:val="22"/>
          <w:lang w:eastAsia="es-ES"/>
        </w:rPr>
        <w:t>b. Calendario de ejecución presupuestaria año 2019</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422B9B">
      <w:pPr>
        <w:pStyle w:val="Prrafodelista"/>
        <w:numPr>
          <w:ilvl w:val="0"/>
          <w:numId w:val="48"/>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EF40B2" w:rsidRPr="00EF40B2">
        <w:rPr>
          <w:rFonts w:asciiTheme="minorHAnsi" w:eastAsia="Arial Unicode MS" w:hAnsiTheme="minorHAnsi" w:cstheme="minorHAnsi"/>
          <w:color w:val="000066"/>
          <w:sz w:val="22"/>
          <w:szCs w:val="22"/>
        </w:rPr>
        <w:t>Oficina Financiera Institucional-OFI</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la 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sobre los planes presupuestarios</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D71CB6" w:rsidRPr="00D71CB6" w:rsidRDefault="00D71CB6" w:rsidP="00CF3116">
      <w:pPr>
        <w:autoSpaceDE w:val="0"/>
        <w:autoSpaceDN w:val="0"/>
        <w:adjustRightInd w:val="0"/>
        <w:snapToGrid w:val="0"/>
        <w:spacing w:line="240" w:lineRule="auto"/>
        <w:ind w:left="720"/>
        <w:jc w:val="both"/>
        <w:rPr>
          <w:rFonts w:cstheme="minorHAnsi"/>
          <w:color w:val="000066"/>
        </w:rPr>
      </w:pPr>
      <w:r>
        <w:rPr>
          <w:rFonts w:cstheme="minorHAnsi"/>
          <w:color w:val="000066"/>
        </w:rPr>
        <w:t xml:space="preserve">Planes Presupuestarios números 2, 5, 7, 8 y 9 del año 2019 y el Calendario de Ejecución </w:t>
      </w:r>
      <w:r w:rsidRPr="00D71CB6">
        <w:rPr>
          <w:rFonts w:cstheme="minorHAnsi"/>
          <w:color w:val="000066"/>
        </w:rPr>
        <w:t>Presupuestaria de 2019</w:t>
      </w:r>
    </w:p>
    <w:p w:rsidR="00D71CB6" w:rsidRPr="00D71CB6" w:rsidRDefault="00CF3116" w:rsidP="00D71CB6">
      <w:pPr>
        <w:pStyle w:val="Prrafodelista"/>
        <w:numPr>
          <w:ilvl w:val="0"/>
          <w:numId w:val="45"/>
        </w:numPr>
        <w:shd w:val="clear" w:color="auto" w:fill="FFFFFF"/>
        <w:jc w:val="both"/>
        <w:rPr>
          <w:rFonts w:asciiTheme="minorHAnsi" w:hAnsiTheme="minorHAnsi" w:cstheme="minorHAnsi"/>
          <w:color w:val="000000"/>
          <w:sz w:val="22"/>
          <w:szCs w:val="22"/>
          <w:lang w:val="es-SV" w:eastAsia="es-SV"/>
        </w:rPr>
      </w:pPr>
      <w:r w:rsidRPr="00D71CB6">
        <w:rPr>
          <w:rFonts w:asciiTheme="minorHAnsi" w:eastAsia="Arial Unicode MS" w:hAnsiTheme="minorHAnsi" w:cstheme="minorHAnsi"/>
          <w:sz w:val="22"/>
          <w:szCs w:val="22"/>
          <w:lang w:val="es-SV"/>
        </w:rPr>
        <w:t>L</w:t>
      </w:r>
      <w:r w:rsidR="000E3366" w:rsidRPr="00D71CB6">
        <w:rPr>
          <w:rFonts w:asciiTheme="minorHAnsi" w:eastAsia="Arial Unicode MS" w:hAnsiTheme="minorHAnsi" w:cstheme="minorHAnsi"/>
          <w:sz w:val="22"/>
          <w:szCs w:val="22"/>
          <w:lang w:val="es-SV"/>
        </w:rPr>
        <w:t>a</w:t>
      </w:r>
      <w:r w:rsidRPr="00D71CB6">
        <w:rPr>
          <w:rFonts w:asciiTheme="minorHAnsi" w:eastAsia="Arial Unicode MS" w:hAnsiTheme="minorHAnsi" w:cstheme="minorHAnsi"/>
          <w:sz w:val="22"/>
          <w:szCs w:val="22"/>
          <w:lang w:val="es-SV"/>
        </w:rPr>
        <w:t xml:space="preserve"> </w:t>
      </w:r>
      <w:r w:rsidR="00D71CB6" w:rsidRPr="00D71CB6">
        <w:rPr>
          <w:rFonts w:asciiTheme="minorHAnsi" w:eastAsia="Arial Unicode MS" w:hAnsiTheme="minorHAnsi" w:cstheme="minorHAnsi"/>
          <w:sz w:val="22"/>
          <w:szCs w:val="22"/>
          <w:lang w:val="es-SV"/>
        </w:rPr>
        <w:t xml:space="preserve">información sobre los </w:t>
      </w:r>
      <w:r w:rsidR="00D71CB6" w:rsidRPr="00D71CB6">
        <w:rPr>
          <w:rFonts w:asciiTheme="minorHAnsi" w:eastAsia="Arial Unicode MS" w:hAnsiTheme="minorHAnsi" w:cstheme="minorHAnsi"/>
          <w:i/>
          <w:color w:val="000066"/>
          <w:sz w:val="22"/>
          <w:szCs w:val="22"/>
          <w:lang w:val="es-SV"/>
        </w:rPr>
        <w:t xml:space="preserve">Planes Presupuestarios del 10 al </w:t>
      </w:r>
      <w:r w:rsidR="00DD5621">
        <w:rPr>
          <w:rFonts w:asciiTheme="minorHAnsi" w:eastAsia="Arial Unicode MS" w:hAnsiTheme="minorHAnsi" w:cstheme="minorHAnsi"/>
          <w:i/>
          <w:color w:val="000066"/>
          <w:sz w:val="22"/>
          <w:szCs w:val="22"/>
          <w:lang w:val="es-SV"/>
        </w:rPr>
        <w:t>13</w:t>
      </w:r>
      <w:bookmarkStart w:id="0" w:name="_GoBack"/>
      <w:bookmarkEnd w:id="0"/>
      <w:r w:rsidR="00D71CB6" w:rsidRPr="00D71CB6">
        <w:rPr>
          <w:rFonts w:asciiTheme="minorHAnsi" w:eastAsia="Arial Unicode MS" w:hAnsiTheme="minorHAnsi" w:cstheme="minorHAnsi"/>
          <w:i/>
          <w:color w:val="000066"/>
          <w:sz w:val="22"/>
          <w:szCs w:val="22"/>
          <w:lang w:val="es-SV"/>
        </w:rPr>
        <w:t>,</w:t>
      </w:r>
      <w:r w:rsidR="00D71CB6" w:rsidRPr="00D71CB6">
        <w:rPr>
          <w:rFonts w:asciiTheme="minorHAnsi" w:eastAsia="Arial Unicode MS" w:hAnsiTheme="minorHAnsi" w:cstheme="minorHAnsi"/>
          <w:color w:val="000066"/>
          <w:sz w:val="22"/>
          <w:szCs w:val="22"/>
          <w:lang w:val="es-SV"/>
        </w:rPr>
        <w:t xml:space="preserve"> </w:t>
      </w:r>
      <w:r w:rsidR="00D71CB6" w:rsidRPr="00D71CB6">
        <w:rPr>
          <w:rFonts w:asciiTheme="minorHAnsi" w:eastAsia="Arial Unicode MS" w:hAnsiTheme="minorHAnsi" w:cstheme="minorHAnsi"/>
          <w:sz w:val="22"/>
          <w:szCs w:val="22"/>
          <w:lang w:val="es-SV"/>
        </w:rPr>
        <w:t>la OFI</w:t>
      </w:r>
      <w:r w:rsidR="000E3366" w:rsidRPr="00D71CB6">
        <w:rPr>
          <w:rFonts w:asciiTheme="minorHAnsi" w:eastAsia="Arial Unicode MS" w:hAnsiTheme="minorHAnsi" w:cstheme="minorHAnsi"/>
          <w:sz w:val="22"/>
          <w:szCs w:val="22"/>
          <w:lang w:val="es-SV"/>
        </w:rPr>
        <w:t xml:space="preserve"> aclaró que </w:t>
      </w:r>
      <w:r w:rsidR="00D71CB6" w:rsidRPr="00D71CB6">
        <w:rPr>
          <w:rFonts w:asciiTheme="minorHAnsi" w:hAnsiTheme="minorHAnsi" w:cstheme="minorHAnsi"/>
          <w:color w:val="000000"/>
          <w:sz w:val="22"/>
          <w:szCs w:val="22"/>
          <w:lang w:val="es-SV"/>
        </w:rPr>
        <w:t>este ministerio solamente genera l</w:t>
      </w:r>
      <w:r w:rsidR="00F2432B">
        <w:rPr>
          <w:rFonts w:asciiTheme="minorHAnsi" w:hAnsiTheme="minorHAnsi" w:cstheme="minorHAnsi"/>
          <w:color w:val="000000"/>
          <w:sz w:val="22"/>
          <w:szCs w:val="22"/>
          <w:lang w:val="es-SV"/>
        </w:rPr>
        <w:t>os planes presupuestarios</w:t>
      </w:r>
      <w:r w:rsidR="00D71CB6" w:rsidRPr="00D71CB6">
        <w:rPr>
          <w:rFonts w:asciiTheme="minorHAnsi" w:hAnsiTheme="minorHAnsi" w:cstheme="minorHAnsi"/>
          <w:color w:val="000000"/>
          <w:sz w:val="22"/>
          <w:szCs w:val="22"/>
          <w:lang w:val="es-SV"/>
        </w:rPr>
        <w:t xml:space="preserve"> 1 al 9, </w:t>
      </w:r>
      <w:r w:rsidR="00D71CB6" w:rsidRPr="00D71CB6">
        <w:rPr>
          <w:rFonts w:asciiTheme="minorHAnsi" w:hAnsiTheme="minorHAnsi" w:cstheme="minorHAnsi"/>
          <w:color w:val="000000"/>
          <w:sz w:val="22"/>
          <w:szCs w:val="22"/>
          <w:lang w:val="es-SV" w:eastAsia="es-SV"/>
        </w:rPr>
        <w:t>porque son los que la Dirección General del Presupuesto del Ministerio de Hacienda solicita</w:t>
      </w:r>
      <w:r w:rsidR="00F2432B">
        <w:rPr>
          <w:rFonts w:asciiTheme="minorHAnsi" w:hAnsiTheme="minorHAnsi" w:cstheme="minorHAnsi"/>
          <w:color w:val="000000"/>
          <w:sz w:val="22"/>
          <w:szCs w:val="22"/>
          <w:lang w:val="es-SV" w:eastAsia="es-SV"/>
        </w:rPr>
        <w:t>,</w:t>
      </w:r>
      <w:r w:rsidR="00D71CB6" w:rsidRPr="00D71CB6">
        <w:rPr>
          <w:rFonts w:asciiTheme="minorHAnsi" w:hAnsiTheme="minorHAnsi" w:cstheme="minorHAnsi"/>
          <w:color w:val="000000"/>
          <w:sz w:val="22"/>
          <w:szCs w:val="22"/>
          <w:lang w:val="es-SV" w:eastAsia="es-SV"/>
        </w:rPr>
        <w:t xml:space="preserve"> para el análisis e integración al Presupuesto General de la Nación;</w:t>
      </w:r>
    </w:p>
    <w:p w:rsidR="00D71CB6" w:rsidRPr="00D71CB6" w:rsidRDefault="00D71CB6" w:rsidP="00D71CB6">
      <w:pPr>
        <w:pStyle w:val="Prrafodelista"/>
        <w:shd w:val="clear" w:color="auto" w:fill="FFFFFF"/>
        <w:ind w:left="720"/>
        <w:jc w:val="both"/>
        <w:rPr>
          <w:rFonts w:asciiTheme="minorHAnsi" w:hAnsiTheme="minorHAnsi" w:cstheme="minorHAnsi"/>
          <w:color w:val="000000"/>
          <w:sz w:val="22"/>
          <w:szCs w:val="22"/>
          <w:lang w:val="es-SV" w:eastAsia="es-SV"/>
        </w:rPr>
      </w:pPr>
    </w:p>
    <w:p w:rsidR="00D71CB6" w:rsidRPr="00D71CB6" w:rsidRDefault="00D71CB6" w:rsidP="00D71CB6">
      <w:pPr>
        <w:pStyle w:val="Prrafodelista"/>
        <w:numPr>
          <w:ilvl w:val="0"/>
          <w:numId w:val="45"/>
        </w:numPr>
        <w:shd w:val="clear" w:color="auto" w:fill="FFFFFF"/>
        <w:jc w:val="both"/>
        <w:rPr>
          <w:rFonts w:asciiTheme="minorHAnsi" w:hAnsiTheme="minorHAnsi" w:cstheme="minorHAnsi"/>
          <w:color w:val="000000"/>
          <w:sz w:val="22"/>
          <w:szCs w:val="22"/>
          <w:lang w:val="es-SV" w:eastAsia="es-SV"/>
        </w:rPr>
      </w:pPr>
      <w:r w:rsidRPr="00D71CB6">
        <w:rPr>
          <w:rFonts w:asciiTheme="minorHAnsi" w:eastAsia="Arial Unicode MS" w:hAnsiTheme="minorHAnsi" w:cstheme="minorHAnsi"/>
          <w:sz w:val="22"/>
          <w:szCs w:val="22"/>
          <w:lang w:val="es-SV"/>
        </w:rPr>
        <w:t>Por</w:t>
      </w:r>
      <w:r w:rsidRPr="00D71CB6">
        <w:rPr>
          <w:rFonts w:asciiTheme="minorHAnsi" w:hAnsiTheme="minorHAnsi" w:cstheme="minorHAnsi"/>
          <w:color w:val="000000"/>
          <w:sz w:val="22"/>
          <w:szCs w:val="22"/>
          <w:lang w:val="es-SV" w:eastAsia="es-SV"/>
        </w:rPr>
        <w:t xml:space="preserve"> tanto analizado lo </w:t>
      </w:r>
      <w:r w:rsidR="00F2432B">
        <w:rPr>
          <w:rFonts w:asciiTheme="minorHAnsi" w:hAnsiTheme="minorHAnsi" w:cstheme="minorHAnsi"/>
          <w:color w:val="000000"/>
          <w:sz w:val="22"/>
          <w:szCs w:val="22"/>
          <w:lang w:val="es-SV" w:eastAsia="es-SV"/>
        </w:rPr>
        <w:t>anteriormente expuesto</w:t>
      </w:r>
      <w:r w:rsidRPr="00D71CB6">
        <w:rPr>
          <w:rFonts w:asciiTheme="minorHAnsi" w:hAnsiTheme="minorHAnsi" w:cstheme="minorHAnsi"/>
          <w:color w:val="000000"/>
          <w:sz w:val="22"/>
          <w:szCs w:val="22"/>
          <w:lang w:val="es-SV" w:eastAsia="es-SV"/>
        </w:rPr>
        <w:t xml:space="preserve"> y con base a lo establecido en los arts. 65, 68 inc. 2o. y 72 de la Ley de Acceso a la Información Pública y el art. 49 del Reglamento de dicha Ley</w:t>
      </w:r>
      <w:r w:rsidR="00F2432B">
        <w:rPr>
          <w:rFonts w:asciiTheme="minorHAnsi" w:hAnsiTheme="minorHAnsi" w:cstheme="minorHAnsi"/>
          <w:color w:val="000000"/>
          <w:sz w:val="22"/>
          <w:szCs w:val="22"/>
          <w:lang w:val="es-SV" w:eastAsia="es-SV"/>
        </w:rPr>
        <w:t>,</w:t>
      </w:r>
      <w:r w:rsidRPr="00D71CB6">
        <w:rPr>
          <w:rFonts w:asciiTheme="minorHAnsi" w:hAnsiTheme="minorHAnsi" w:cstheme="minorHAnsi"/>
          <w:color w:val="000000"/>
          <w:sz w:val="22"/>
          <w:szCs w:val="22"/>
          <w:lang w:val="es-SV" w:eastAsia="es-SV"/>
        </w:rPr>
        <w:t xml:space="preserve"> que la información solicitada </w:t>
      </w:r>
      <w:r w:rsidRPr="00F2432B">
        <w:rPr>
          <w:rFonts w:asciiTheme="minorHAnsi" w:hAnsiTheme="minorHAnsi" w:cstheme="minorHAnsi"/>
          <w:b/>
          <w:color w:val="000066"/>
          <w:sz w:val="22"/>
          <w:szCs w:val="22"/>
          <w:lang w:val="es-SV" w:eastAsia="es-SV"/>
        </w:rPr>
        <w:t xml:space="preserve">no es de la </w:t>
      </w:r>
      <w:r w:rsidR="00F2432B">
        <w:rPr>
          <w:rFonts w:asciiTheme="minorHAnsi" w:hAnsiTheme="minorHAnsi" w:cstheme="minorHAnsi"/>
          <w:b/>
          <w:color w:val="000066"/>
          <w:sz w:val="22"/>
          <w:szCs w:val="22"/>
          <w:lang w:val="es-SV" w:eastAsia="es-SV"/>
        </w:rPr>
        <w:t xml:space="preserve">competencia de esta dependencia, </w:t>
      </w:r>
      <w:r w:rsidR="00F2432B" w:rsidRPr="00F2432B">
        <w:rPr>
          <w:rFonts w:asciiTheme="minorHAnsi" w:hAnsiTheme="minorHAnsi" w:cstheme="minorHAnsi"/>
          <w:sz w:val="22"/>
          <w:szCs w:val="22"/>
          <w:lang w:val="es-SV" w:eastAsia="es-SV"/>
        </w:rPr>
        <w:t>por tanto no se podrán entregar los datos del inciso anterior</w:t>
      </w:r>
      <w:r w:rsidR="00F2432B" w:rsidRPr="00F2432B">
        <w:rPr>
          <w:rFonts w:asciiTheme="minorHAnsi" w:hAnsiTheme="minorHAnsi" w:cstheme="minorHAnsi"/>
          <w:color w:val="000066"/>
          <w:sz w:val="22"/>
          <w:szCs w:val="22"/>
          <w:lang w:val="es-SV" w:eastAsia="es-SV"/>
        </w:rPr>
        <w:t>,</w:t>
      </w:r>
      <w:r w:rsidR="00F2432B">
        <w:rPr>
          <w:rFonts w:asciiTheme="minorHAnsi" w:hAnsiTheme="minorHAnsi" w:cstheme="minorHAnsi"/>
          <w:b/>
          <w:color w:val="000066"/>
          <w:sz w:val="22"/>
          <w:szCs w:val="22"/>
          <w:lang w:val="es-SV" w:eastAsia="es-SV"/>
        </w:rPr>
        <w:t xml:space="preserve"> </w:t>
      </w:r>
      <w:r w:rsidR="00F2432B" w:rsidRPr="00F2432B">
        <w:rPr>
          <w:rFonts w:asciiTheme="minorHAnsi" w:hAnsiTheme="minorHAnsi" w:cstheme="minorHAnsi"/>
          <w:sz w:val="22"/>
          <w:szCs w:val="22"/>
          <w:lang w:val="es-SV" w:eastAsia="es-SV"/>
        </w:rPr>
        <w:t xml:space="preserve">en ese sentido se recomienda </w:t>
      </w:r>
      <w:r w:rsidRPr="00D71CB6">
        <w:rPr>
          <w:rFonts w:asciiTheme="minorHAnsi" w:hAnsiTheme="minorHAnsi" w:cstheme="minorHAnsi"/>
          <w:color w:val="000000"/>
          <w:sz w:val="22"/>
          <w:szCs w:val="22"/>
          <w:lang w:val="es-SV" w:eastAsia="es-SV"/>
        </w:rPr>
        <w:t>solicit</w:t>
      </w:r>
      <w:r w:rsidR="00F2432B">
        <w:rPr>
          <w:rFonts w:asciiTheme="minorHAnsi" w:hAnsiTheme="minorHAnsi" w:cstheme="minorHAnsi"/>
          <w:color w:val="000000"/>
          <w:sz w:val="22"/>
          <w:szCs w:val="22"/>
          <w:lang w:val="es-SV" w:eastAsia="es-SV"/>
        </w:rPr>
        <w:t xml:space="preserve">arlo </w:t>
      </w:r>
      <w:r w:rsidRPr="00D71CB6">
        <w:rPr>
          <w:rFonts w:asciiTheme="minorHAnsi" w:hAnsiTheme="minorHAnsi" w:cstheme="minorHAnsi"/>
          <w:color w:val="000000"/>
          <w:sz w:val="22"/>
          <w:szCs w:val="22"/>
          <w:lang w:val="es-SV" w:eastAsia="es-SV"/>
        </w:rPr>
        <w:t xml:space="preserve">al </w:t>
      </w:r>
      <w:r w:rsidR="00F2432B">
        <w:rPr>
          <w:rFonts w:asciiTheme="minorHAnsi" w:hAnsiTheme="minorHAnsi" w:cstheme="minorHAnsi"/>
          <w:color w:val="000000"/>
          <w:sz w:val="22"/>
          <w:szCs w:val="22"/>
          <w:lang w:val="es-SV" w:eastAsia="es-SV"/>
        </w:rPr>
        <w:t>Oficial de Información del Ministerio de Hacienda</w:t>
      </w:r>
      <w:r w:rsidRPr="00D71CB6">
        <w:rPr>
          <w:rFonts w:asciiTheme="minorHAnsi" w:hAnsiTheme="minorHAnsi" w:cstheme="minorHAnsi"/>
          <w:color w:val="000000"/>
          <w:sz w:val="22"/>
          <w:szCs w:val="22"/>
          <w:lang w:val="es-SV" w:eastAsia="es-SV"/>
        </w:rPr>
        <w:t>:</w:t>
      </w:r>
    </w:p>
    <w:p w:rsidR="00D71CB6" w:rsidRPr="00D71CB6" w:rsidRDefault="00D71CB6" w:rsidP="00D71CB6">
      <w:pPr>
        <w:shd w:val="clear" w:color="auto" w:fill="FFFFFF"/>
        <w:spacing w:after="0" w:line="240" w:lineRule="auto"/>
        <w:jc w:val="both"/>
        <w:rPr>
          <w:rFonts w:ascii="Bookman Old Style" w:eastAsia="Times New Roman" w:hAnsi="Bookman Old Style" w:cs="Times New Roman"/>
          <w:color w:val="000000"/>
          <w:sz w:val="20"/>
          <w:szCs w:val="20"/>
          <w:lang w:val="es-SV" w:eastAsia="es-SV"/>
        </w:rPr>
      </w:pPr>
    </w:p>
    <w:p w:rsidR="00D71CB6" w:rsidRPr="00D71CB6" w:rsidRDefault="00F2432B" w:rsidP="00F2432B">
      <w:pPr>
        <w:shd w:val="clear" w:color="auto" w:fill="FFFFFF"/>
        <w:spacing w:after="0" w:line="240" w:lineRule="auto"/>
        <w:ind w:left="720"/>
        <w:jc w:val="both"/>
        <w:rPr>
          <w:rFonts w:ascii="Bookman Old Style" w:eastAsia="Times New Roman" w:hAnsi="Bookman Old Style" w:cs="Times New Roman"/>
          <w:color w:val="000000"/>
          <w:sz w:val="20"/>
          <w:szCs w:val="20"/>
          <w:lang w:val="es-SV" w:eastAsia="es-SV"/>
        </w:rPr>
      </w:pPr>
      <w:r w:rsidRPr="00F2432B">
        <w:rPr>
          <w:rFonts w:ascii="Calibri" w:eastAsia="Times New Roman" w:hAnsi="Calibri" w:cs="Calibri"/>
          <w:b/>
          <w:bCs/>
          <w:color w:val="000066"/>
          <w:lang w:val="es-SV" w:eastAsia="es-SV"/>
        </w:rPr>
        <w:t>Oficial de Información</w:t>
      </w:r>
      <w:hyperlink r:id="rId9" w:tgtFrame="_blank" w:tooltip="Ver currículo vitae" w:history="1">
        <w:r w:rsidRPr="00F2432B">
          <w:rPr>
            <w:rFonts w:ascii="Calibri" w:eastAsia="Times New Roman" w:hAnsi="Calibri" w:cs="Calibri"/>
            <w:b/>
            <w:bCs/>
            <w:color w:val="000066"/>
            <w:lang w:val="es-SV" w:eastAsia="es-SV"/>
          </w:rPr>
          <w:t xml:space="preserve"> </w:t>
        </w:r>
        <w:r w:rsidR="00D71CB6" w:rsidRPr="00D71CB6">
          <w:rPr>
            <w:rFonts w:ascii="Calibri" w:eastAsia="Times New Roman" w:hAnsi="Calibri" w:cs="Calibri"/>
            <w:b/>
            <w:bCs/>
            <w:color w:val="000066"/>
            <w:lang w:val="es-SV" w:eastAsia="es-SV"/>
          </w:rPr>
          <w:t>Daniel Eliseo Martínez Taura</w:t>
        </w:r>
      </w:hyperlink>
      <w:r w:rsidR="00D71CB6" w:rsidRPr="00D71CB6">
        <w:rPr>
          <w:rFonts w:ascii="Calibri" w:eastAsia="Times New Roman" w:hAnsi="Calibri" w:cs="Calibri"/>
          <w:color w:val="000000"/>
          <w:lang w:val="es-SV" w:eastAsia="es-SV"/>
        </w:rPr>
        <w:t>, dirección: Boulevard Los Héroes, ed</w:t>
      </w:r>
      <w:r w:rsidR="00D71CB6" w:rsidRPr="00D71CB6">
        <w:rPr>
          <w:rFonts w:ascii="Calibri" w:eastAsia="Times New Roman" w:hAnsi="Calibri" w:cs="Calibri"/>
          <w:color w:val="000000"/>
          <w:lang w:val="es-SV" w:eastAsia="es-SV"/>
        </w:rPr>
        <w:t>i</w:t>
      </w:r>
      <w:r w:rsidR="00D71CB6" w:rsidRPr="00D71CB6">
        <w:rPr>
          <w:rFonts w:ascii="Calibri" w:eastAsia="Times New Roman" w:hAnsi="Calibri" w:cs="Calibri"/>
          <w:color w:val="000000"/>
          <w:lang w:val="es-SV" w:eastAsia="es-SV"/>
        </w:rPr>
        <w:t>ficio anexo a Secretaría de Estado, Ministerio de Hacienda. Correo Electrón</w:t>
      </w:r>
      <w:r w:rsidR="00D71CB6" w:rsidRPr="00D71CB6">
        <w:rPr>
          <w:rFonts w:ascii="Calibri" w:eastAsia="Times New Roman" w:hAnsi="Calibri" w:cs="Calibri"/>
          <w:color w:val="000000"/>
          <w:lang w:val="es-SV" w:eastAsia="es-SV"/>
        </w:rPr>
        <w:t>i</w:t>
      </w:r>
      <w:r w:rsidR="00D71CB6" w:rsidRPr="00D71CB6">
        <w:rPr>
          <w:rFonts w:ascii="Calibri" w:eastAsia="Times New Roman" w:hAnsi="Calibri" w:cs="Calibri"/>
          <w:color w:val="000000"/>
          <w:lang w:val="es-SV" w:eastAsia="es-SV"/>
        </w:rPr>
        <w:t>co: </w:t>
      </w:r>
      <w:hyperlink r:id="rId10" w:tgtFrame="_blank" w:history="1">
        <w:r w:rsidR="00D71CB6" w:rsidRPr="00D71CB6">
          <w:rPr>
            <w:rFonts w:ascii="Calibri" w:eastAsia="Times New Roman" w:hAnsi="Calibri" w:cs="Calibri"/>
            <w:bCs/>
            <w:color w:val="000066"/>
            <w:lang w:val="es-SV" w:eastAsia="es-SV"/>
          </w:rPr>
          <w:t>oficialdeinformacion@mh.gob.sv</w:t>
        </w:r>
      </w:hyperlink>
      <w:r w:rsidR="00D71CB6" w:rsidRPr="00D71CB6">
        <w:rPr>
          <w:rFonts w:ascii="Calibri" w:eastAsia="Times New Roman" w:hAnsi="Calibri" w:cs="Calibri"/>
          <w:b/>
          <w:bCs/>
          <w:color w:val="000099"/>
          <w:lang w:val="es-SV" w:eastAsia="es-SV"/>
        </w:rPr>
        <w:t>,</w:t>
      </w:r>
      <w:r w:rsidR="00D71CB6" w:rsidRPr="00D71CB6">
        <w:rPr>
          <w:rFonts w:ascii="Calibri" w:eastAsia="Times New Roman" w:hAnsi="Calibri" w:cs="Calibri"/>
          <w:color w:val="000000"/>
          <w:lang w:val="es-SV" w:eastAsia="es-SV"/>
        </w:rPr>
        <w:t> Teléfono: (503) 2244-3830.</w:t>
      </w:r>
    </w:p>
    <w:p w:rsidR="00B96542" w:rsidRPr="00B96542" w:rsidRDefault="00B96542" w:rsidP="00B96542">
      <w:pPr>
        <w:pStyle w:val="Prrafodelista"/>
        <w:rPr>
          <w:rFonts w:asciiTheme="minorHAnsi" w:eastAsia="Meiryo UI" w:hAnsiTheme="minorHAnsi" w:cstheme="minorHAnsi"/>
          <w:sz w:val="22"/>
          <w:szCs w:val="22"/>
        </w:rPr>
      </w:pPr>
    </w:p>
    <w:p w:rsidR="0001122D" w:rsidRPr="00F2432B" w:rsidRDefault="00633317" w:rsidP="001D1A4C">
      <w:pPr>
        <w:pStyle w:val="Prrafodelista"/>
        <w:numPr>
          <w:ilvl w:val="0"/>
          <w:numId w:val="45"/>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lastRenderedPageBreak/>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11"/>
      <w:footerReference w:type="default" r:id="rId12"/>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AB" w:rsidRDefault="00DD60AB">
      <w:pPr>
        <w:spacing w:after="0" w:line="240" w:lineRule="auto"/>
      </w:pPr>
      <w:r>
        <w:separator/>
      </w:r>
    </w:p>
  </w:endnote>
  <w:endnote w:type="continuationSeparator" w:id="0">
    <w:p w:rsidR="00DD60AB" w:rsidRDefault="00DD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E55A994" wp14:editId="2757704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DD5621">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DD5621">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AB" w:rsidRDefault="00DD60AB">
      <w:pPr>
        <w:spacing w:after="0" w:line="240" w:lineRule="auto"/>
      </w:pPr>
      <w:r>
        <w:separator/>
      </w:r>
    </w:p>
  </w:footnote>
  <w:footnote w:type="continuationSeparator" w:id="0">
    <w:p w:rsidR="00DD60AB" w:rsidRDefault="00DD6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134145EC"/>
    <w:multiLevelType w:val="hybridMultilevel"/>
    <w:tmpl w:val="4052EAF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0">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2"/>
  </w:num>
  <w:num w:numId="3">
    <w:abstractNumId w:val="21"/>
  </w:num>
  <w:num w:numId="4">
    <w:abstractNumId w:val="41"/>
  </w:num>
  <w:num w:numId="5">
    <w:abstractNumId w:val="46"/>
  </w:num>
  <w:num w:numId="6">
    <w:abstractNumId w:val="25"/>
  </w:num>
  <w:num w:numId="7">
    <w:abstractNumId w:val="38"/>
  </w:num>
  <w:num w:numId="8">
    <w:abstractNumId w:val="17"/>
  </w:num>
  <w:num w:numId="9">
    <w:abstractNumId w:val="8"/>
  </w:num>
  <w:num w:numId="10">
    <w:abstractNumId w:val="20"/>
  </w:num>
  <w:num w:numId="11">
    <w:abstractNumId w:val="13"/>
  </w:num>
  <w:num w:numId="12">
    <w:abstractNumId w:val="40"/>
  </w:num>
  <w:num w:numId="13">
    <w:abstractNumId w:val="44"/>
  </w:num>
  <w:num w:numId="14">
    <w:abstractNumId w:val="45"/>
  </w:num>
  <w:num w:numId="15">
    <w:abstractNumId w:val="7"/>
  </w:num>
  <w:num w:numId="16">
    <w:abstractNumId w:val="11"/>
  </w:num>
  <w:num w:numId="17">
    <w:abstractNumId w:val="42"/>
  </w:num>
  <w:num w:numId="18">
    <w:abstractNumId w:val="14"/>
  </w:num>
  <w:num w:numId="19">
    <w:abstractNumId w:val="30"/>
  </w:num>
  <w:num w:numId="20">
    <w:abstractNumId w:val="22"/>
  </w:num>
  <w:num w:numId="21">
    <w:abstractNumId w:val="35"/>
  </w:num>
  <w:num w:numId="22">
    <w:abstractNumId w:val="5"/>
  </w:num>
  <w:num w:numId="23">
    <w:abstractNumId w:val="24"/>
  </w:num>
  <w:num w:numId="24">
    <w:abstractNumId w:val="26"/>
  </w:num>
  <w:num w:numId="25">
    <w:abstractNumId w:val="0"/>
  </w:num>
  <w:num w:numId="26">
    <w:abstractNumId w:val="6"/>
  </w:num>
  <w:num w:numId="27">
    <w:abstractNumId w:val="33"/>
  </w:num>
  <w:num w:numId="28">
    <w:abstractNumId w:val="37"/>
  </w:num>
  <w:num w:numId="29">
    <w:abstractNumId w:val="31"/>
  </w:num>
  <w:num w:numId="30">
    <w:abstractNumId w:val="34"/>
  </w:num>
  <w:num w:numId="31">
    <w:abstractNumId w:val="2"/>
  </w:num>
  <w:num w:numId="32">
    <w:abstractNumId w:val="27"/>
  </w:num>
  <w:num w:numId="33">
    <w:abstractNumId w:val="32"/>
  </w:num>
  <w:num w:numId="34">
    <w:abstractNumId w:val="3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7"/>
  </w:num>
  <w:num w:numId="39">
    <w:abstractNumId w:val="39"/>
  </w:num>
  <w:num w:numId="40">
    <w:abstractNumId w:val="16"/>
  </w:num>
  <w:num w:numId="41">
    <w:abstractNumId w:val="1"/>
  </w:num>
  <w:num w:numId="42">
    <w:abstractNumId w:val="36"/>
  </w:num>
  <w:num w:numId="43">
    <w:abstractNumId w:val="23"/>
  </w:num>
  <w:num w:numId="44">
    <w:abstractNumId w:val="19"/>
  </w:num>
  <w:num w:numId="45">
    <w:abstractNumId w:val="18"/>
  </w:num>
  <w:num w:numId="46">
    <w:abstractNumId w:val="9"/>
  </w:num>
  <w:num w:numId="47">
    <w:abstractNumId w:val="28"/>
  </w:num>
  <w:num w:numId="48">
    <w:abstractNumId w:val="3"/>
  </w:num>
  <w:num w:numId="49">
    <w:abstractNumId w:val="4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53C2B"/>
    <w:rsid w:val="00186817"/>
    <w:rsid w:val="001932C6"/>
    <w:rsid w:val="001A0133"/>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C6EFB"/>
    <w:rsid w:val="003D0F0E"/>
    <w:rsid w:val="003D7492"/>
    <w:rsid w:val="003E1742"/>
    <w:rsid w:val="003E3483"/>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6F4"/>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61C99"/>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621"/>
    <w:rsid w:val="00DD5E81"/>
    <w:rsid w:val="00DD60AB"/>
    <w:rsid w:val="00E03E52"/>
    <w:rsid w:val="00E26614"/>
    <w:rsid w:val="00E44F0E"/>
    <w:rsid w:val="00E4518C"/>
    <w:rsid w:val="00E52515"/>
    <w:rsid w:val="00E604D2"/>
    <w:rsid w:val="00E65CE0"/>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icialdeinformacion@mh.gob.sv" TargetMode="External"/><Relationship Id="rId4" Type="http://schemas.microsoft.com/office/2007/relationships/stylesWithEffects" Target="stylesWithEffects.xml"/><Relationship Id="rId9" Type="http://schemas.openxmlformats.org/officeDocument/2006/relationships/hyperlink" Target="http://www.mh.gob.sv/portal/page/portal/PCC/CurriculosFuncionarios/Daniel_Eliseo_Martinez_Taura.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3102-B8EF-4E7B-BB56-E9C26D91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2019-05-08T22:40:00Z</cp:lastPrinted>
  <dcterms:created xsi:type="dcterms:W3CDTF">2019-05-08T22:42:00Z</dcterms:created>
  <dcterms:modified xsi:type="dcterms:W3CDTF">2019-05-08T22:57:00Z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