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A92" w:rsidRPr="00B81A92" w:rsidRDefault="00B81A92" w:rsidP="00B81A92">
      <w:pPr>
        <w:pStyle w:val="Ttulo1"/>
        <w:spacing w:before="0" w:line="240" w:lineRule="auto"/>
        <w:jc w:val="center"/>
        <w:rPr>
          <w:rFonts w:asciiTheme="minorHAnsi" w:eastAsia="Arial Unicode MS" w:hAnsiTheme="minorHAnsi"/>
          <w:color w:val="C00000"/>
          <w:sz w:val="16"/>
        </w:rPr>
      </w:pPr>
      <w:r w:rsidRPr="00B81A92">
        <w:rPr>
          <w:rFonts w:asciiTheme="minorHAnsi" w:eastAsia="Arial Unicode MS" w:hAnsiTheme="minorHAnsi"/>
          <w:color w:val="C00000"/>
          <w:sz w:val="16"/>
        </w:rPr>
        <w:t xml:space="preserve">Versión pública de acuerdo a lo dispuesto en el Art. 30 de la LAIP, se elimina  </w:t>
      </w:r>
      <w:r w:rsidRPr="00B81A92">
        <w:rPr>
          <w:rFonts w:asciiTheme="minorHAnsi" w:eastAsia="Arial Unicode MS" w:hAnsiTheme="minorHAnsi"/>
          <w:color w:val="C00000"/>
          <w:sz w:val="16"/>
          <w:u w:val="single"/>
        </w:rPr>
        <w:t>el nombre</w:t>
      </w:r>
      <w:r w:rsidRPr="00B81A92">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B81A92">
        <w:rPr>
          <w:rFonts w:asciiTheme="minorHAnsi" w:eastAsia="Arial Unicode MS" w:hAnsiTheme="minorHAnsi"/>
          <w:color w:val="C00000"/>
          <w:sz w:val="16"/>
          <w:u w:val="single"/>
        </w:rPr>
        <w:t>pág. 1</w:t>
      </w:r>
      <w:r w:rsidRPr="00B81A92">
        <w:rPr>
          <w:rFonts w:asciiTheme="minorHAnsi" w:eastAsia="Arial Unicode MS" w:hAnsiTheme="minorHAnsi"/>
          <w:color w:val="C00000"/>
          <w:sz w:val="16"/>
        </w:rPr>
        <w:t xml:space="preserve"> 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bookmarkStart w:id="0" w:name="_GoBack"/>
      <w:bookmarkEnd w:id="0"/>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0D6F76">
        <w:rPr>
          <w:rFonts w:eastAsia="Arial Unicode MS" w:cstheme="minorHAnsi"/>
          <w:b/>
          <w:color w:val="000066"/>
          <w:sz w:val="24"/>
          <w:u w:val="single"/>
          <w:lang w:val="es-SV"/>
        </w:rPr>
        <w:t>39</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57492">
        <w:rPr>
          <w:rFonts w:ascii="Calibri" w:eastAsia="Arial Unicode MS" w:hAnsi="Calibri" w:cs="Arial Unicode MS"/>
          <w:color w:val="000066"/>
          <w:lang w:eastAsia="es-SV"/>
        </w:rPr>
        <w:t>dieciséis</w:t>
      </w:r>
      <w:r w:rsidRPr="005E176D">
        <w:rPr>
          <w:rFonts w:ascii="Calibri" w:eastAsia="Arial Unicode MS" w:hAnsi="Calibri" w:cs="Arial Unicode MS"/>
          <w:color w:val="000066"/>
          <w:lang w:eastAsia="es-SV"/>
        </w:rPr>
        <w:t xml:space="preserve"> horas con </w:t>
      </w:r>
      <w:r w:rsidR="000D6F76">
        <w:rPr>
          <w:rFonts w:ascii="Calibri" w:eastAsia="Arial Unicode MS" w:hAnsi="Calibri" w:cs="Arial Unicode MS"/>
          <w:color w:val="000066"/>
          <w:lang w:eastAsia="es-SV"/>
        </w:rPr>
        <w:t xml:space="preserve">veintitrés </w:t>
      </w:r>
      <w:r w:rsidRPr="005E176D">
        <w:rPr>
          <w:rFonts w:ascii="Calibri" w:eastAsia="Arial Unicode MS" w:hAnsi="Calibri" w:cs="Arial Unicode MS"/>
          <w:color w:val="000066"/>
          <w:lang w:eastAsia="es-SV"/>
        </w:rPr>
        <w:t xml:space="preserve">minutos del día </w:t>
      </w:r>
      <w:r w:rsidR="000D6F76">
        <w:rPr>
          <w:rFonts w:ascii="Calibri" w:eastAsia="Arial Unicode MS" w:hAnsi="Calibri" w:cs="Arial Unicode MS"/>
          <w:color w:val="000066"/>
          <w:lang w:eastAsia="es-SV"/>
        </w:rPr>
        <w:t xml:space="preserve">cinco </w:t>
      </w:r>
      <w:r w:rsidRPr="005E176D">
        <w:rPr>
          <w:rFonts w:ascii="Calibri" w:eastAsia="Arial Unicode MS" w:hAnsi="Calibri" w:cs="Arial Unicode MS"/>
          <w:color w:val="000066"/>
          <w:lang w:eastAsia="es-SV"/>
        </w:rPr>
        <w:t>de abril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0D6F76">
        <w:rPr>
          <w:rFonts w:ascii="Calibri" w:eastAsia="Arial Unicode MS" w:hAnsi="Calibri" w:cs="Arial Unicode MS"/>
          <w:b/>
          <w:color w:val="000066"/>
          <w:lang w:eastAsia="es-SV"/>
        </w:rPr>
        <w:t>39</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r w:rsidR="00B81A92">
        <w:rPr>
          <w:rFonts w:eastAsia="Arial Unicode MS" w:cstheme="minorHAnsi"/>
          <w:b/>
          <w:color w:val="000066"/>
          <w:lang w:eastAsia="es-SV"/>
        </w:rPr>
        <w:t>xxx</w:t>
      </w:r>
      <w:r w:rsidRPr="005E176D">
        <w:rPr>
          <w:rFonts w:eastAsia="Arial Unicode MS" w:cstheme="minorHAnsi"/>
          <w:lang w:eastAsia="es-SV"/>
        </w:rPr>
        <w:t>, de hoy en adelante PETICIONARIO, identificado con Documento Único de Ident</w:t>
      </w:r>
      <w:r w:rsidRPr="005E176D">
        <w:rPr>
          <w:rFonts w:eastAsia="Arial Unicode MS" w:cstheme="minorHAnsi"/>
          <w:lang w:eastAsia="es-SV"/>
        </w:rPr>
        <w:t>i</w:t>
      </w:r>
      <w:r w:rsidRPr="005E176D">
        <w:rPr>
          <w:rFonts w:eastAsia="Arial Unicode MS" w:cstheme="minorHAnsi"/>
          <w:lang w:eastAsia="es-SV"/>
        </w:rPr>
        <w:t xml:space="preserve">dad </w:t>
      </w:r>
      <w:r w:rsidRPr="005E176D">
        <w:rPr>
          <w:rFonts w:eastAsia="Arial Unicode MS" w:cstheme="minorHAnsi"/>
          <w:b/>
          <w:color w:val="000066"/>
          <w:lang w:eastAsia="es-SV"/>
        </w:rPr>
        <w:t xml:space="preserve">N° </w:t>
      </w:r>
      <w:r w:rsidR="00B81A92">
        <w:rPr>
          <w:rFonts w:eastAsia="Arial Unicode MS" w:cstheme="minorHAnsi"/>
          <w:b/>
          <w:color w:val="000066"/>
          <w:lang w:eastAsia="es-SV"/>
        </w:rPr>
        <w:t>xx</w:t>
      </w:r>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DC560F" w:rsidP="00DC560F">
      <w:pPr>
        <w:pStyle w:val="Prrafodelista"/>
        <w:numPr>
          <w:ilvl w:val="0"/>
          <w:numId w:val="44"/>
        </w:numPr>
        <w:jc w:val="both"/>
        <w:rPr>
          <w:rFonts w:asciiTheme="minorHAnsi" w:eastAsia="Arial Unicode MS" w:hAnsiTheme="minorHAnsi" w:cstheme="minorHAnsi"/>
          <w:sz w:val="22"/>
          <w:szCs w:val="22"/>
          <w:lang w:eastAsia="es-SV"/>
        </w:rPr>
      </w:pPr>
      <w:r w:rsidRPr="005E176D">
        <w:rPr>
          <w:rFonts w:asciiTheme="minorHAnsi" w:eastAsia="Arial Unicode MS" w:hAnsiTheme="minorHAnsi" w:cstheme="minorHAnsi"/>
          <w:sz w:val="22"/>
          <w:szCs w:val="22"/>
          <w:lang w:eastAsia="es-SV"/>
        </w:rPr>
        <w:t xml:space="preserve">El </w:t>
      </w:r>
      <w:r w:rsidRPr="005E176D">
        <w:rPr>
          <w:rFonts w:asciiTheme="minorHAnsi" w:eastAsia="Arial Unicode MS" w:hAnsiTheme="minorHAnsi" w:cstheme="minorHAnsi"/>
          <w:color w:val="000066"/>
          <w:sz w:val="22"/>
          <w:szCs w:val="22"/>
          <w:lang w:eastAsia="es-SV"/>
        </w:rPr>
        <w:t>Peticionario</w:t>
      </w:r>
      <w:r w:rsidRPr="005E176D">
        <w:rPr>
          <w:rFonts w:asciiTheme="minorHAnsi" w:eastAsia="Arial Unicode MS" w:hAnsiTheme="minorHAnsi" w:cstheme="minorHAnsi"/>
          <w:b/>
          <w:color w:val="000066"/>
          <w:sz w:val="22"/>
          <w:szCs w:val="22"/>
          <w:lang w:eastAsia="es-SV"/>
        </w:rPr>
        <w:t xml:space="preserve"> </w:t>
      </w:r>
      <w:r w:rsidRPr="005E176D">
        <w:rPr>
          <w:rFonts w:asciiTheme="minorHAnsi" w:eastAsia="Arial Unicode MS" w:hAnsiTheme="minorHAnsi" w:cstheme="minorHAnsi"/>
          <w:sz w:val="22"/>
          <w:szCs w:val="22"/>
          <w:lang w:eastAsia="es-SV"/>
        </w:rPr>
        <w:t xml:space="preserve">presentó solicitud de información el día </w:t>
      </w:r>
      <w:r w:rsidR="00C57492">
        <w:rPr>
          <w:rFonts w:asciiTheme="minorHAnsi" w:eastAsia="Arial Unicode MS" w:hAnsiTheme="minorHAnsi" w:cstheme="minorHAnsi"/>
          <w:i/>
          <w:color w:val="000066"/>
          <w:sz w:val="22"/>
          <w:szCs w:val="22"/>
          <w:lang w:eastAsia="es-SV"/>
        </w:rPr>
        <w:t>o</w:t>
      </w:r>
      <w:r w:rsidR="000D6F76">
        <w:rPr>
          <w:rFonts w:asciiTheme="minorHAnsi" w:eastAsia="Arial Unicode MS" w:hAnsiTheme="minorHAnsi" w:cstheme="minorHAnsi"/>
          <w:i/>
          <w:color w:val="000066"/>
          <w:sz w:val="22"/>
          <w:szCs w:val="22"/>
          <w:lang w:eastAsia="es-SV"/>
        </w:rPr>
        <w:t>nce de marzo</w:t>
      </w:r>
      <w:r w:rsidRPr="005E176D">
        <w:rPr>
          <w:rFonts w:asciiTheme="minorHAnsi" w:eastAsia="Arial Unicode MS" w:hAnsiTheme="minorHAnsi" w:cstheme="minorHAnsi"/>
          <w:sz w:val="22"/>
          <w:szCs w:val="22"/>
          <w:lang w:eastAsia="es-SV"/>
        </w:rPr>
        <w:t xml:space="preserve"> de dos mil diecinueve a las </w:t>
      </w:r>
      <w:r w:rsidR="000D6F76">
        <w:rPr>
          <w:rFonts w:asciiTheme="minorHAnsi" w:eastAsia="Arial Unicode MS" w:hAnsiTheme="minorHAnsi" w:cstheme="minorHAnsi"/>
          <w:i/>
          <w:color w:val="000066"/>
          <w:sz w:val="22"/>
          <w:szCs w:val="22"/>
          <w:lang w:eastAsia="es-SV"/>
        </w:rPr>
        <w:t>doce horas</w:t>
      </w:r>
      <w:r w:rsidRPr="005E176D">
        <w:rPr>
          <w:rFonts w:asciiTheme="minorHAnsi" w:eastAsia="Arial Unicode MS" w:hAnsiTheme="minorHAnsi" w:cstheme="minorHAnsi"/>
          <w:i/>
          <w:color w:val="000066"/>
          <w:sz w:val="22"/>
          <w:szCs w:val="22"/>
          <w:lang w:eastAsia="es-SV"/>
        </w:rPr>
        <w:t xml:space="preserve">, </w:t>
      </w:r>
      <w:r w:rsidR="00C57492">
        <w:rPr>
          <w:rFonts w:asciiTheme="minorHAnsi" w:eastAsia="Arial Unicode MS" w:hAnsiTheme="minorHAnsi" w:cstheme="minorHAnsi"/>
          <w:sz w:val="22"/>
          <w:szCs w:val="22"/>
          <w:lang w:eastAsia="es-SV"/>
        </w:rPr>
        <w:t>de manera presencial en la OIR</w:t>
      </w:r>
      <w:r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 xml:space="preserve">el día </w:t>
      </w:r>
      <w:r w:rsidR="000D6F76">
        <w:rPr>
          <w:rFonts w:asciiTheme="minorHAnsi" w:eastAsia="Arial Unicode MS" w:hAnsiTheme="minorHAnsi" w:cstheme="minorHAnsi"/>
          <w:i/>
          <w:color w:val="000066"/>
          <w:sz w:val="22"/>
          <w:szCs w:val="22"/>
          <w:lang w:eastAsia="es-SV"/>
        </w:rPr>
        <w:t>once</w:t>
      </w:r>
      <w:r w:rsidR="00C57492" w:rsidRPr="000D6F76">
        <w:rPr>
          <w:rFonts w:asciiTheme="minorHAnsi" w:eastAsia="Arial Unicode MS" w:hAnsiTheme="minorHAnsi" w:cstheme="minorHAnsi"/>
          <w:color w:val="000066"/>
          <w:sz w:val="22"/>
          <w:szCs w:val="22"/>
          <w:lang w:eastAsia="es-SV"/>
        </w:rPr>
        <w:t xml:space="preserve"> </w:t>
      </w:r>
      <w:r w:rsidR="00C57492">
        <w:rPr>
          <w:rFonts w:asciiTheme="minorHAnsi" w:eastAsia="Arial Unicode MS" w:hAnsiTheme="minorHAnsi" w:cstheme="minorHAnsi"/>
          <w:sz w:val="22"/>
          <w:szCs w:val="22"/>
          <w:lang w:eastAsia="es-SV"/>
        </w:rPr>
        <w:t>del mismo mes y año</w:t>
      </w:r>
      <w:r w:rsidRPr="005E176D">
        <w:rPr>
          <w:rFonts w:asciiTheme="minorHAnsi" w:eastAsia="Arial Unicode MS" w:hAnsiTheme="minorHAnsi" w:cstheme="minorHAnsi"/>
          <w:sz w:val="22"/>
          <w:szCs w:val="22"/>
          <w:lang w:eastAsia="es-SV"/>
        </w:rPr>
        <w:t>, en la cual solicita lo siguiente:</w:t>
      </w:r>
    </w:p>
    <w:p w:rsidR="00630FA6" w:rsidRPr="005E176D"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016803" w:rsidRPr="000D6F76" w:rsidRDefault="000D6F76" w:rsidP="000D6F76">
      <w:pPr>
        <w:autoSpaceDE w:val="0"/>
        <w:autoSpaceDN w:val="0"/>
        <w:adjustRightInd w:val="0"/>
        <w:snapToGrid w:val="0"/>
        <w:spacing w:after="0" w:line="240" w:lineRule="auto"/>
        <w:ind w:left="720"/>
        <w:jc w:val="both"/>
        <w:rPr>
          <w:rFonts w:eastAsia="Arial Unicode MS" w:cstheme="minorHAnsi"/>
          <w:i/>
          <w:color w:val="000066"/>
        </w:rPr>
      </w:pPr>
      <w:r w:rsidRPr="000D6F76">
        <w:rPr>
          <w:rFonts w:eastAsia="Arial Unicode MS" w:cstheme="minorHAnsi"/>
          <w:i/>
          <w:color w:val="000066"/>
        </w:rPr>
        <w:t>“</w:t>
      </w:r>
      <w:r w:rsidRPr="000D6F76">
        <w:rPr>
          <w:rFonts w:eastAsia="Arial Unicode MS" w:cstheme="minorHAnsi"/>
          <w:i/>
          <w:color w:val="000066"/>
        </w:rPr>
        <w:t>Copia Certificada de Decretos emitidos por la Asamblea Legislativa entre junio de 1991 a</w:t>
      </w:r>
      <w:r w:rsidRPr="000D6F76">
        <w:rPr>
          <w:rFonts w:eastAsia="Arial Unicode MS" w:cstheme="minorHAnsi"/>
          <w:i/>
          <w:color w:val="000066"/>
        </w:rPr>
        <w:t xml:space="preserve"> </w:t>
      </w:r>
      <w:r w:rsidRPr="000D6F76">
        <w:rPr>
          <w:rFonts w:eastAsia="Arial Unicode MS" w:cstheme="minorHAnsi"/>
          <w:i/>
          <w:color w:val="000066"/>
        </w:rPr>
        <w:t>febrero de 2019, en relación a transferencias de bienes a nombre del Instituto Regulador de</w:t>
      </w:r>
      <w:r w:rsidRPr="000D6F76">
        <w:rPr>
          <w:rFonts w:eastAsia="Arial Unicode MS" w:cstheme="minorHAnsi"/>
          <w:i/>
          <w:color w:val="000066"/>
        </w:rPr>
        <w:t xml:space="preserve"> </w:t>
      </w:r>
      <w:r w:rsidRPr="000D6F76">
        <w:rPr>
          <w:rFonts w:eastAsia="Arial Unicode MS" w:cstheme="minorHAnsi"/>
          <w:i/>
          <w:color w:val="000066"/>
        </w:rPr>
        <w:t>Abastecimientos (IRA) a empresas públicas o privadas por concepto de donaciones,</w:t>
      </w:r>
      <w:r w:rsidRPr="000D6F76">
        <w:rPr>
          <w:rFonts w:eastAsia="Arial Unicode MS" w:cstheme="minorHAnsi"/>
          <w:i/>
          <w:color w:val="000066"/>
        </w:rPr>
        <w:t xml:space="preserve"> </w:t>
      </w:r>
      <w:r w:rsidRPr="000D6F76">
        <w:rPr>
          <w:rFonts w:eastAsia="Arial Unicode MS" w:cstheme="minorHAnsi"/>
          <w:i/>
          <w:color w:val="000066"/>
        </w:rPr>
        <w:t>c</w:t>
      </w:r>
      <w:r w:rsidRPr="000D6F76">
        <w:rPr>
          <w:rFonts w:eastAsia="Arial Unicode MS" w:cstheme="minorHAnsi"/>
          <w:i/>
          <w:color w:val="000066"/>
        </w:rPr>
        <w:t>o</w:t>
      </w:r>
      <w:r w:rsidRPr="000D6F76">
        <w:rPr>
          <w:rFonts w:eastAsia="Arial Unicode MS" w:cstheme="minorHAnsi"/>
          <w:i/>
          <w:color w:val="000066"/>
        </w:rPr>
        <w:t>modatos y en general toda entrega onerosa de bienes, que da a quien lo recibe a libre</w:t>
      </w:r>
      <w:r w:rsidRPr="000D6F76">
        <w:rPr>
          <w:rFonts w:eastAsia="Arial Unicode MS" w:cstheme="minorHAnsi"/>
          <w:i/>
          <w:color w:val="000066"/>
        </w:rPr>
        <w:t xml:space="preserve"> </w:t>
      </w:r>
      <w:r w:rsidRPr="000D6F76">
        <w:rPr>
          <w:rFonts w:eastAsia="Arial Unicode MS" w:cstheme="minorHAnsi"/>
          <w:i/>
          <w:color w:val="000066"/>
        </w:rPr>
        <w:t>f</w:t>
      </w:r>
      <w:r w:rsidRPr="000D6F76">
        <w:rPr>
          <w:rFonts w:eastAsia="Arial Unicode MS" w:cstheme="minorHAnsi"/>
          <w:i/>
          <w:color w:val="000066"/>
        </w:rPr>
        <w:t>a</w:t>
      </w:r>
      <w:r w:rsidRPr="000D6F76">
        <w:rPr>
          <w:rFonts w:eastAsia="Arial Unicode MS" w:cstheme="minorHAnsi"/>
          <w:i/>
          <w:color w:val="000066"/>
        </w:rPr>
        <w:t>cultad de disponer económicamente de ellos, como si fueran propietarios</w:t>
      </w:r>
      <w:r w:rsidRPr="000D6F76">
        <w:rPr>
          <w:rFonts w:eastAsia="Arial Unicode MS" w:cstheme="minorHAnsi"/>
          <w:i/>
          <w:color w:val="000066"/>
        </w:rPr>
        <w:t>”</w:t>
      </w:r>
      <w:r w:rsidRPr="000D6F76">
        <w:rPr>
          <w:rFonts w:eastAsia="Arial Unicode MS" w:cstheme="minorHAnsi"/>
          <w:i/>
          <w:color w:val="000066"/>
        </w:rPr>
        <w:t>.</w:t>
      </w:r>
    </w:p>
    <w:p w:rsidR="000D6F76" w:rsidRPr="005E176D" w:rsidRDefault="000D6F76" w:rsidP="000D6F76">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peticiona</w:t>
      </w:r>
      <w:r w:rsidR="00733362">
        <w:rPr>
          <w:rFonts w:asciiTheme="minorHAnsi" w:eastAsia="Arial Unicode MS" w:hAnsiTheme="minorHAnsi" w:cstheme="minorHAnsi"/>
          <w:sz w:val="22"/>
          <w:szCs w:val="22"/>
        </w:rPr>
        <w:t>rio</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C57492">
      <w:pPr>
        <w:pStyle w:val="Prrafodelista"/>
        <w:rPr>
          <w:rFonts w:asciiTheme="minorHAnsi" w:eastAsia="Arial Unicode MS" w:hAnsiTheme="minorHAnsi" w:cstheme="minorHAnsi"/>
          <w:sz w:val="22"/>
          <w:szCs w:val="22"/>
        </w:rPr>
      </w:pPr>
    </w:p>
    <w:p w:rsidR="00C57492" w:rsidRDefault="00C57492"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se solicitó la información a la</w:t>
      </w:r>
      <w:r w:rsidR="000D6F76">
        <w:rPr>
          <w:rFonts w:asciiTheme="minorHAnsi" w:eastAsia="Arial Unicode MS" w:hAnsiTheme="minorHAnsi" w:cstheme="minorHAnsi"/>
          <w:sz w:val="22"/>
          <w:szCs w:val="22"/>
        </w:rPr>
        <w:t>s</w:t>
      </w:r>
      <w:r>
        <w:rPr>
          <w:rFonts w:asciiTheme="minorHAnsi" w:eastAsia="Arial Unicode MS" w:hAnsiTheme="minorHAnsi" w:cstheme="minorHAnsi"/>
          <w:sz w:val="22"/>
          <w:szCs w:val="22"/>
        </w:rPr>
        <w:t xml:space="preserve"> </w:t>
      </w:r>
      <w:r w:rsidR="000D6F76">
        <w:rPr>
          <w:rFonts w:asciiTheme="minorHAnsi" w:eastAsia="Arial Unicode MS" w:hAnsiTheme="minorHAnsi" w:cstheme="minorHAnsi"/>
          <w:sz w:val="22"/>
          <w:szCs w:val="22"/>
        </w:rPr>
        <w:t xml:space="preserve">siguientes unidades administrativas: Oficina General de Administración-OGA-Activo Fijo, Oficina de Asesoría Jurídica-OAJ, y Unidad de Gestión </w:t>
      </w:r>
      <w:r w:rsidR="000D6F76">
        <w:rPr>
          <w:rFonts w:asciiTheme="minorHAnsi" w:eastAsia="Arial Unicode MS" w:hAnsiTheme="minorHAnsi" w:cstheme="minorHAnsi"/>
          <w:sz w:val="22"/>
          <w:szCs w:val="22"/>
        </w:rPr>
        <w:lastRenderedPageBreak/>
        <w:t xml:space="preserve">Documental y Archivos-UGDA, todas de este ministerio, </w:t>
      </w:r>
      <w:r>
        <w:rPr>
          <w:rFonts w:asciiTheme="minorHAnsi" w:eastAsia="Arial Unicode MS" w:hAnsiTheme="minorHAnsi" w:cstheme="minorHAnsi"/>
          <w:sz w:val="22"/>
          <w:szCs w:val="22"/>
        </w:rPr>
        <w:t xml:space="preserve">quienes son </w:t>
      </w:r>
      <w:r w:rsidR="000D6F76">
        <w:rPr>
          <w:rFonts w:asciiTheme="minorHAnsi" w:eastAsia="Arial Unicode MS" w:hAnsiTheme="minorHAnsi" w:cstheme="minorHAnsi"/>
          <w:sz w:val="22"/>
          <w:szCs w:val="22"/>
        </w:rPr>
        <w:t>las unidades que podrían tener los documentos solicitados</w:t>
      </w:r>
      <w:r>
        <w:rPr>
          <w:rFonts w:asciiTheme="minorHAnsi" w:eastAsia="Arial Unicode MS" w:hAnsiTheme="minorHAnsi" w:cstheme="minorHAnsi"/>
          <w:sz w:val="22"/>
          <w:szCs w:val="22"/>
        </w:rPr>
        <w:t>;</w:t>
      </w:r>
    </w:p>
    <w:p w:rsidR="00C57492" w:rsidRPr="00C57492" w:rsidRDefault="00C57492" w:rsidP="00C57492">
      <w:pPr>
        <w:pStyle w:val="Prrafodelista"/>
        <w:rPr>
          <w:rFonts w:asciiTheme="minorHAnsi" w:eastAsia="Arial Unicode MS" w:hAnsiTheme="minorHAnsi" w:cstheme="minorHAnsi"/>
          <w:sz w:val="22"/>
          <w:szCs w:val="22"/>
        </w:rPr>
      </w:pPr>
    </w:p>
    <w:p w:rsidR="00422B9B" w:rsidRDefault="00422B9B" w:rsidP="00422B9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2"/>
          <w:szCs w:val="22"/>
        </w:rPr>
      </w:pPr>
      <w:r w:rsidRPr="00422B9B">
        <w:rPr>
          <w:rFonts w:asciiTheme="minorHAnsi" w:eastAsia="Arial Unicode MS" w:hAnsiTheme="minorHAnsi" w:cstheme="minorHAnsi"/>
          <w:sz w:val="22"/>
          <w:szCs w:val="22"/>
        </w:rPr>
        <w:t xml:space="preserve">Que el día </w:t>
      </w:r>
      <w:r w:rsidRPr="00422B9B">
        <w:rPr>
          <w:rFonts w:asciiTheme="minorHAnsi" w:eastAsia="Arial Unicode MS" w:hAnsiTheme="minorHAnsi" w:cstheme="minorHAnsi"/>
          <w:color w:val="000066"/>
          <w:sz w:val="22"/>
          <w:szCs w:val="22"/>
        </w:rPr>
        <w:t xml:space="preserve">catorce de marzo </w:t>
      </w:r>
      <w:r>
        <w:rPr>
          <w:rFonts w:asciiTheme="minorHAnsi" w:eastAsia="Arial Unicode MS" w:hAnsiTheme="minorHAnsi" w:cstheme="minorHAnsi"/>
          <w:sz w:val="22"/>
          <w:szCs w:val="22"/>
        </w:rPr>
        <w:t xml:space="preserve">de </w:t>
      </w:r>
      <w:r w:rsidRPr="00422B9B">
        <w:rPr>
          <w:rFonts w:asciiTheme="minorHAnsi" w:eastAsia="Arial Unicode MS" w:hAnsiTheme="minorHAnsi" w:cstheme="minorHAnsi"/>
          <w:sz w:val="22"/>
          <w:szCs w:val="22"/>
        </w:rPr>
        <w:t xml:space="preserve">los corrientes se amplió el plazo por </w:t>
      </w:r>
      <w:r w:rsidRPr="00422B9B">
        <w:rPr>
          <w:rFonts w:asciiTheme="minorHAnsi" w:eastAsia="Arial Unicode MS" w:hAnsiTheme="minorHAnsi" w:cstheme="minorHAnsi"/>
          <w:i/>
          <w:color w:val="000066"/>
          <w:sz w:val="22"/>
          <w:szCs w:val="22"/>
        </w:rPr>
        <w:t>antigüedad</w:t>
      </w:r>
      <w:r w:rsidRPr="00422B9B">
        <w:rPr>
          <w:rFonts w:asciiTheme="minorHAnsi" w:eastAsia="Arial Unicode MS" w:hAnsiTheme="minorHAnsi" w:cstheme="minorHAnsi"/>
          <w:i/>
          <w:color w:val="000066"/>
          <w:sz w:val="22"/>
          <w:szCs w:val="22"/>
        </w:rPr>
        <w:t xml:space="preserve"> </w:t>
      </w:r>
      <w:r w:rsidRPr="00422B9B">
        <w:rPr>
          <w:rFonts w:asciiTheme="minorHAnsi" w:eastAsia="Arial Unicode MS" w:hAnsiTheme="minorHAnsi" w:cstheme="minorHAnsi"/>
          <w:sz w:val="22"/>
          <w:szCs w:val="22"/>
        </w:rPr>
        <w:t xml:space="preserve">de acuerdo a lo estipulado en el artículo 71 de la LAIP, siendo la nueva fecha de entrega el </w:t>
      </w:r>
      <w:r w:rsidRPr="00422B9B">
        <w:rPr>
          <w:rFonts w:asciiTheme="minorHAnsi" w:eastAsia="Arial Unicode MS" w:hAnsiTheme="minorHAnsi" w:cstheme="minorHAnsi"/>
          <w:i/>
          <w:color w:val="000066"/>
          <w:sz w:val="22"/>
          <w:szCs w:val="22"/>
        </w:rPr>
        <w:t>cinco de abril</w:t>
      </w:r>
      <w:r w:rsidRPr="00422B9B">
        <w:rPr>
          <w:rFonts w:asciiTheme="minorHAnsi" w:eastAsia="Arial Unicode MS" w:hAnsiTheme="minorHAnsi" w:cstheme="minorHAnsi"/>
          <w:color w:val="000066"/>
          <w:sz w:val="22"/>
          <w:szCs w:val="22"/>
        </w:rPr>
        <w:t xml:space="preserve"> </w:t>
      </w:r>
      <w:r>
        <w:rPr>
          <w:rFonts w:asciiTheme="minorHAnsi" w:eastAsia="Arial Unicode MS" w:hAnsiTheme="minorHAnsi" w:cstheme="minorHAnsi"/>
          <w:sz w:val="22"/>
          <w:szCs w:val="22"/>
        </w:rPr>
        <w:t>de 2019; porque la UGDA y la OAJ continuaron con la búsqueda de los documentos en sus repositorios.</w:t>
      </w:r>
    </w:p>
    <w:p w:rsidR="00422B9B" w:rsidRPr="00422B9B" w:rsidRDefault="00422B9B" w:rsidP="00422B9B">
      <w:pPr>
        <w:pStyle w:val="Prrafodelista"/>
        <w:autoSpaceDE w:val="0"/>
        <w:autoSpaceDN w:val="0"/>
        <w:adjustRightInd w:val="0"/>
        <w:snapToGrid w:val="0"/>
        <w:ind w:left="360"/>
        <w:jc w:val="both"/>
        <w:rPr>
          <w:rFonts w:asciiTheme="minorHAnsi" w:eastAsia="Arial Unicode MS" w:hAnsiTheme="minorHAnsi" w:cstheme="minorHAnsi"/>
          <w:sz w:val="22"/>
          <w:szCs w:val="22"/>
        </w:rPr>
      </w:pPr>
    </w:p>
    <w:p w:rsidR="00422B9B" w:rsidRDefault="00C57492" w:rsidP="00352F8E">
      <w:pPr>
        <w:pStyle w:val="Prrafodelista"/>
        <w:numPr>
          <w:ilvl w:val="0"/>
          <w:numId w:val="27"/>
        </w:numPr>
        <w:autoSpaceDE w:val="0"/>
        <w:autoSpaceDN w:val="0"/>
        <w:adjustRightInd w:val="0"/>
        <w:snapToGrid w:val="0"/>
        <w:ind w:left="357" w:hanging="357"/>
        <w:jc w:val="both"/>
        <w:rPr>
          <w:rFonts w:asciiTheme="minorHAnsi" w:eastAsia="Arial Unicode MS" w:hAnsiTheme="minorHAnsi" w:cstheme="minorHAnsi"/>
          <w:sz w:val="22"/>
          <w:szCs w:val="22"/>
        </w:rPr>
      </w:pPr>
      <w:r w:rsidRPr="00422B9B">
        <w:rPr>
          <w:rFonts w:asciiTheme="minorHAnsi" w:eastAsia="Arial Unicode MS" w:hAnsiTheme="minorHAnsi" w:cstheme="minorHAnsi"/>
          <w:sz w:val="22"/>
          <w:szCs w:val="22"/>
        </w:rPr>
        <w:t xml:space="preserve">Que </w:t>
      </w:r>
      <w:r w:rsidR="00422B9B">
        <w:rPr>
          <w:rFonts w:asciiTheme="minorHAnsi" w:eastAsia="Arial Unicode MS" w:hAnsiTheme="minorHAnsi" w:cstheme="minorHAnsi"/>
          <w:sz w:val="22"/>
          <w:szCs w:val="22"/>
        </w:rPr>
        <w:t>la UGDA, OGA y OAJ</w:t>
      </w:r>
      <w:r w:rsidR="000D6F76" w:rsidRPr="00422B9B">
        <w:rPr>
          <w:rFonts w:asciiTheme="minorHAnsi" w:eastAsia="Arial Unicode MS" w:hAnsiTheme="minorHAnsi" w:cstheme="minorHAnsi"/>
          <w:sz w:val="22"/>
          <w:szCs w:val="22"/>
        </w:rPr>
        <w:t xml:space="preserve"> realizaron una búsqueda exhaustiva de la información en las diferentes áreas y espacios donde se conservan la información, inclusive en los archivos ubicados en las instalaciones de El Matazano en Soyapango;</w:t>
      </w:r>
    </w:p>
    <w:p w:rsidR="00422B9B" w:rsidRPr="008B4500" w:rsidRDefault="00422B9B"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w:t>
      </w:r>
      <w:r w:rsidR="00422B9B" w:rsidRPr="008B4500">
        <w:rPr>
          <w:rFonts w:eastAsia="Arial Unicode MS" w:cstheme="minorHAnsi"/>
        </w:rPr>
        <w:t>E</w:t>
      </w:r>
      <w:r w:rsidR="00422B9B" w:rsidRPr="008B4500">
        <w:rPr>
          <w:rFonts w:eastAsia="Arial Unicode MS" w:cstheme="minorHAnsi"/>
        </w:rPr>
        <w:t>SUELVE:</w:t>
      </w:r>
    </w:p>
    <w:p w:rsidR="00422B9B" w:rsidRPr="008B4500" w:rsidRDefault="00422B9B" w:rsidP="00422B9B">
      <w:pPr>
        <w:autoSpaceDE w:val="0"/>
        <w:autoSpaceDN w:val="0"/>
        <w:adjustRightInd w:val="0"/>
        <w:snapToGrid w:val="0"/>
        <w:spacing w:after="0" w:line="240" w:lineRule="auto"/>
        <w:jc w:val="both"/>
        <w:rPr>
          <w:rFonts w:eastAsia="Arial Unicode MS" w:cstheme="minorHAnsi"/>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DD5E81">
      <w:pPr>
        <w:pStyle w:val="Prrafodelista"/>
        <w:numPr>
          <w:ilvl w:val="0"/>
          <w:numId w:val="45"/>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352F8E" w:rsidRPr="00DD5E81" w:rsidRDefault="00352F8E" w:rsidP="00DD5E81">
      <w:pPr>
        <w:pStyle w:val="Prrafodelista"/>
        <w:numPr>
          <w:ilvl w:val="0"/>
          <w:numId w:val="46"/>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Copia de Acta de dación de este ministerio al Ministerio de Hacienda de una propiedad del IRA ubicada en Santa Ana del año 2005</w:t>
      </w:r>
    </w:p>
    <w:p w:rsidR="00352F8E" w:rsidRPr="00DD5E81" w:rsidRDefault="00352F8E" w:rsidP="00DD5E81">
      <w:pPr>
        <w:pStyle w:val="Prrafodelista"/>
        <w:numPr>
          <w:ilvl w:val="0"/>
          <w:numId w:val="46"/>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 xml:space="preserve">Copia de Diario Oficial </w:t>
      </w:r>
      <w:r w:rsidRPr="00DD5E81">
        <w:rPr>
          <w:rFonts w:asciiTheme="minorHAnsi" w:eastAsia="Arial Unicode MS" w:hAnsiTheme="minorHAnsi" w:cstheme="minorHAnsi"/>
          <w:sz w:val="22"/>
          <w:szCs w:val="22"/>
          <w:lang w:val="es-SV"/>
        </w:rPr>
        <w:t>Número</w:t>
      </w:r>
      <w:r w:rsidRPr="00DD5E81">
        <w:rPr>
          <w:rFonts w:asciiTheme="minorHAnsi" w:eastAsia="Arial Unicode MS" w:hAnsiTheme="minorHAnsi" w:cstheme="minorHAnsi"/>
          <w:sz w:val="22"/>
          <w:szCs w:val="22"/>
          <w:lang w:val="es-SV"/>
        </w:rPr>
        <w:t xml:space="preserve"> 718 del 23 de Agosto de 1993 p. 15-16. "Habla sobre la infraestructura del Ex </w:t>
      </w:r>
      <w:r w:rsidRPr="00DD5E81">
        <w:rPr>
          <w:rFonts w:asciiTheme="minorHAnsi" w:eastAsia="Arial Unicode MS" w:hAnsiTheme="minorHAnsi" w:cstheme="minorHAnsi"/>
          <w:sz w:val="22"/>
          <w:szCs w:val="22"/>
          <w:lang w:val="es-SV"/>
        </w:rPr>
        <w:t>IRA</w:t>
      </w:r>
      <w:r w:rsidRPr="00DD5E81">
        <w:rPr>
          <w:rFonts w:asciiTheme="minorHAnsi" w:eastAsia="Arial Unicode MS" w:hAnsiTheme="minorHAnsi" w:cstheme="minorHAnsi"/>
          <w:sz w:val="22"/>
          <w:szCs w:val="22"/>
          <w:lang w:val="es-SV"/>
        </w:rPr>
        <w:t>"</w:t>
      </w:r>
    </w:p>
    <w:p w:rsidR="00352F8E" w:rsidRPr="00DD5E81" w:rsidRDefault="00352F8E" w:rsidP="00DD5E81">
      <w:pPr>
        <w:pStyle w:val="Prrafodelista"/>
        <w:numPr>
          <w:ilvl w:val="0"/>
          <w:numId w:val="46"/>
        </w:numPr>
        <w:autoSpaceDE w:val="0"/>
        <w:autoSpaceDN w:val="0"/>
        <w:adjustRightInd w:val="0"/>
        <w:snapToGrid w:val="0"/>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Copia de Acuerdo del R</w:t>
      </w:r>
      <w:r w:rsidRPr="00DD5E81">
        <w:rPr>
          <w:rFonts w:asciiTheme="minorHAnsi" w:eastAsia="Arial Unicode MS" w:hAnsiTheme="minorHAnsi" w:cstheme="minorHAnsi"/>
          <w:sz w:val="22"/>
          <w:szCs w:val="22"/>
          <w:lang w:val="es-SV"/>
        </w:rPr>
        <w:t xml:space="preserve">amo de Agricultura y Ganadería </w:t>
      </w:r>
      <w:r w:rsidRPr="00DD5E81">
        <w:rPr>
          <w:rFonts w:asciiTheme="minorHAnsi" w:eastAsia="Arial Unicode MS" w:hAnsiTheme="minorHAnsi" w:cstheme="minorHAnsi"/>
          <w:sz w:val="22"/>
          <w:szCs w:val="22"/>
          <w:lang w:val="es-SV"/>
        </w:rPr>
        <w:t>Número</w:t>
      </w:r>
      <w:r w:rsidRPr="00DD5E81">
        <w:rPr>
          <w:rFonts w:asciiTheme="minorHAnsi" w:eastAsia="Arial Unicode MS" w:hAnsiTheme="minorHAnsi" w:cstheme="minorHAnsi"/>
          <w:sz w:val="22"/>
          <w:szCs w:val="22"/>
          <w:lang w:val="es-SV"/>
        </w:rPr>
        <w:t xml:space="preserve"> 718 del 27 Julio de 1993. "Habla sobre la</w:t>
      </w:r>
      <w:r w:rsidRPr="00DD5E81">
        <w:rPr>
          <w:rFonts w:asciiTheme="minorHAnsi" w:eastAsia="Arial Unicode MS" w:hAnsiTheme="minorHAnsi" w:cstheme="minorHAnsi"/>
          <w:sz w:val="22"/>
          <w:szCs w:val="22"/>
          <w:lang w:val="es-SV"/>
        </w:rPr>
        <w:t xml:space="preserve"> infraestructura del Ex IRA”</w:t>
      </w:r>
    </w:p>
    <w:p w:rsidR="00352F8E" w:rsidRPr="00DD5E81" w:rsidRDefault="00352F8E" w:rsidP="00DD5E81">
      <w:pPr>
        <w:pStyle w:val="Prrafodelista"/>
        <w:numPr>
          <w:ilvl w:val="0"/>
          <w:numId w:val="46"/>
        </w:numPr>
        <w:autoSpaceDE w:val="0"/>
        <w:autoSpaceDN w:val="0"/>
        <w:adjustRightInd w:val="0"/>
        <w:snapToGrid w:val="0"/>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Copia de Diario Oficial Tomo 371 Numero 90 Lunes 22 de Mayo de 2006 p. 16. "habla sobre la transferencia de un</w:t>
      </w:r>
      <w:r w:rsidRPr="00DD5E81">
        <w:rPr>
          <w:rFonts w:asciiTheme="minorHAnsi" w:eastAsia="Arial Unicode MS" w:hAnsiTheme="minorHAnsi" w:cstheme="minorHAnsi"/>
          <w:sz w:val="22"/>
          <w:szCs w:val="22"/>
          <w:lang w:val="es-SV"/>
        </w:rPr>
        <w:t xml:space="preserve"> </w:t>
      </w:r>
      <w:r w:rsidRPr="00DD5E81">
        <w:rPr>
          <w:rFonts w:asciiTheme="minorHAnsi" w:eastAsia="Arial Unicode MS" w:hAnsiTheme="minorHAnsi" w:cstheme="minorHAnsi"/>
          <w:sz w:val="22"/>
          <w:szCs w:val="22"/>
          <w:lang w:val="es-SV"/>
        </w:rPr>
        <w:t>inmueble de ex IRA al Ministerio de Educación (Ampliación del Instituto de Nacional de la Ciudad y Departamento de</w:t>
      </w:r>
      <w:r w:rsidRPr="00DD5E81">
        <w:rPr>
          <w:rFonts w:asciiTheme="minorHAnsi" w:eastAsia="Arial Unicode MS" w:hAnsiTheme="minorHAnsi" w:cstheme="minorHAnsi"/>
          <w:sz w:val="22"/>
          <w:szCs w:val="22"/>
          <w:lang w:val="es-SV"/>
        </w:rPr>
        <w:t xml:space="preserve"> Usulután</w:t>
      </w:r>
      <w:r w:rsidRPr="00DD5E81">
        <w:rPr>
          <w:rFonts w:asciiTheme="minorHAnsi" w:eastAsia="Arial Unicode MS" w:hAnsiTheme="minorHAnsi" w:cstheme="minorHAnsi"/>
          <w:sz w:val="22"/>
          <w:szCs w:val="22"/>
          <w:lang w:val="es-SV"/>
        </w:rPr>
        <w:t>)</w:t>
      </w:r>
    </w:p>
    <w:p w:rsidR="00352F8E" w:rsidRPr="00DD5E81" w:rsidRDefault="00352F8E" w:rsidP="00DD5E81">
      <w:pPr>
        <w:pStyle w:val="Prrafodelista"/>
        <w:numPr>
          <w:ilvl w:val="0"/>
          <w:numId w:val="46"/>
        </w:numPr>
        <w:autoSpaceDE w:val="0"/>
        <w:autoSpaceDN w:val="0"/>
        <w:adjustRightInd w:val="0"/>
        <w:snapToGrid w:val="0"/>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Copia de Decreto Numero 358 Asamblea Legislativa "Habla sobre inmuebles en propiedad del estado caso ex IRA y</w:t>
      </w:r>
      <w:r w:rsidRPr="00DD5E81">
        <w:rPr>
          <w:rFonts w:asciiTheme="minorHAnsi" w:eastAsia="Arial Unicode MS" w:hAnsiTheme="minorHAnsi" w:cstheme="minorHAnsi"/>
          <w:sz w:val="22"/>
          <w:szCs w:val="22"/>
          <w:lang w:val="es-SV"/>
        </w:rPr>
        <w:t xml:space="preserve"> </w:t>
      </w:r>
      <w:r w:rsidRPr="00DD5E81">
        <w:rPr>
          <w:rFonts w:asciiTheme="minorHAnsi" w:eastAsia="Arial Unicode MS" w:hAnsiTheme="minorHAnsi" w:cstheme="minorHAnsi"/>
          <w:sz w:val="22"/>
          <w:szCs w:val="22"/>
          <w:lang w:val="es-SV"/>
        </w:rPr>
        <w:t>otros."(Consulta en Biblioteca Asamb</w:t>
      </w:r>
      <w:r w:rsidRPr="00DD5E81">
        <w:rPr>
          <w:rFonts w:asciiTheme="minorHAnsi" w:eastAsia="Arial Unicode MS" w:hAnsiTheme="minorHAnsi" w:cstheme="minorHAnsi"/>
          <w:sz w:val="22"/>
          <w:szCs w:val="22"/>
          <w:lang w:val="es-SV"/>
        </w:rPr>
        <w:t>lea Legislativa de El Salvador); no se entrega copia certificada porque este documento se obtuvo en Biblioteca Virtual de la Asamblea Legislativa.</w:t>
      </w:r>
    </w:p>
    <w:p w:rsidR="00352F8E" w:rsidRPr="00DD5E81" w:rsidRDefault="00352F8E" w:rsidP="00352F8E">
      <w:pPr>
        <w:autoSpaceDE w:val="0"/>
        <w:autoSpaceDN w:val="0"/>
        <w:adjustRightInd w:val="0"/>
        <w:snapToGrid w:val="0"/>
        <w:spacing w:after="0" w:line="240" w:lineRule="auto"/>
        <w:jc w:val="both"/>
        <w:rPr>
          <w:rFonts w:eastAsia="Arial Unicode MS" w:cstheme="minorHAnsi"/>
          <w:lang w:val="es-SV" w:eastAsia="ar-SA"/>
        </w:rPr>
      </w:pPr>
    </w:p>
    <w:p w:rsidR="00352F8E" w:rsidRPr="00DD5E81" w:rsidRDefault="00352F8E" w:rsidP="00DD5E81">
      <w:pPr>
        <w:pStyle w:val="Prrafodelista"/>
        <w:numPr>
          <w:ilvl w:val="0"/>
          <w:numId w:val="45"/>
        </w:numPr>
        <w:autoSpaceDE w:val="0"/>
        <w:autoSpaceDN w:val="0"/>
        <w:adjustRightInd w:val="0"/>
        <w:snapToGrid w:val="0"/>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 xml:space="preserve">Que después de la búsqueda exhaustiva realizada </w:t>
      </w:r>
      <w:r w:rsidR="00EF1B21" w:rsidRPr="00DD5E81">
        <w:rPr>
          <w:rFonts w:asciiTheme="minorHAnsi" w:eastAsia="Arial Unicode MS" w:hAnsiTheme="minorHAnsi" w:cstheme="minorHAnsi"/>
          <w:sz w:val="22"/>
          <w:szCs w:val="22"/>
          <w:lang w:val="es-SV"/>
        </w:rPr>
        <w:t xml:space="preserve">por las unidades administrativas a quienes se solicitó la información, </w:t>
      </w:r>
      <w:r w:rsidRPr="00DD5E81">
        <w:rPr>
          <w:rFonts w:asciiTheme="minorHAnsi" w:eastAsia="Arial Unicode MS" w:hAnsiTheme="minorHAnsi" w:cstheme="minorHAnsi"/>
          <w:sz w:val="22"/>
          <w:szCs w:val="22"/>
          <w:lang w:val="es-SV"/>
        </w:rPr>
        <w:t xml:space="preserve">no </w:t>
      </w:r>
      <w:r w:rsidR="00EF1B21" w:rsidRPr="00DD5E81">
        <w:rPr>
          <w:rFonts w:asciiTheme="minorHAnsi" w:eastAsia="Arial Unicode MS" w:hAnsiTheme="minorHAnsi" w:cstheme="minorHAnsi"/>
          <w:sz w:val="22"/>
          <w:szCs w:val="22"/>
          <w:lang w:val="es-SV"/>
        </w:rPr>
        <w:t>encontraron</w:t>
      </w:r>
      <w:r w:rsidRPr="00DD5E81">
        <w:rPr>
          <w:rFonts w:asciiTheme="minorHAnsi" w:eastAsia="Arial Unicode MS" w:hAnsiTheme="minorHAnsi" w:cstheme="minorHAnsi"/>
          <w:sz w:val="22"/>
          <w:szCs w:val="22"/>
          <w:lang w:val="es-SV"/>
        </w:rPr>
        <w:t xml:space="preserve"> otro</w:t>
      </w:r>
      <w:r w:rsidR="00A02ED1">
        <w:rPr>
          <w:rFonts w:asciiTheme="minorHAnsi" w:eastAsia="Arial Unicode MS" w:hAnsiTheme="minorHAnsi" w:cstheme="minorHAnsi"/>
          <w:sz w:val="22"/>
          <w:szCs w:val="22"/>
          <w:lang w:val="es-SV"/>
        </w:rPr>
        <w:t>s</w:t>
      </w:r>
      <w:r w:rsidRPr="00DD5E81">
        <w:rPr>
          <w:rFonts w:asciiTheme="minorHAnsi" w:eastAsia="Arial Unicode MS" w:hAnsiTheme="minorHAnsi" w:cstheme="minorHAnsi"/>
          <w:sz w:val="22"/>
          <w:szCs w:val="22"/>
          <w:lang w:val="es-SV"/>
        </w:rPr>
        <w:t xml:space="preserve"> documento</w:t>
      </w:r>
      <w:r w:rsidR="00A02ED1">
        <w:rPr>
          <w:rFonts w:asciiTheme="minorHAnsi" w:eastAsia="Arial Unicode MS" w:hAnsiTheme="minorHAnsi" w:cstheme="minorHAnsi"/>
          <w:sz w:val="22"/>
          <w:szCs w:val="22"/>
          <w:lang w:val="es-SV"/>
        </w:rPr>
        <w:t>s</w:t>
      </w:r>
      <w:r w:rsidRPr="00DD5E81">
        <w:rPr>
          <w:rFonts w:asciiTheme="minorHAnsi" w:eastAsia="Arial Unicode MS" w:hAnsiTheme="minorHAnsi" w:cstheme="minorHAnsi"/>
          <w:sz w:val="22"/>
          <w:szCs w:val="22"/>
          <w:lang w:val="es-SV"/>
        </w:rPr>
        <w:t xml:space="preserve"> denomina</w:t>
      </w:r>
      <w:r w:rsidR="00EF1B21" w:rsidRPr="00DD5E81">
        <w:rPr>
          <w:rFonts w:asciiTheme="minorHAnsi" w:eastAsia="Arial Unicode MS" w:hAnsiTheme="minorHAnsi" w:cstheme="minorHAnsi"/>
          <w:sz w:val="22"/>
          <w:szCs w:val="22"/>
          <w:lang w:val="es-SV"/>
        </w:rPr>
        <w:t>do</w:t>
      </w:r>
      <w:r w:rsidR="00A02ED1">
        <w:rPr>
          <w:rFonts w:asciiTheme="minorHAnsi" w:eastAsia="Arial Unicode MS" w:hAnsiTheme="minorHAnsi" w:cstheme="minorHAnsi"/>
          <w:sz w:val="22"/>
          <w:szCs w:val="22"/>
          <w:lang w:val="es-SV"/>
        </w:rPr>
        <w:t>s</w:t>
      </w:r>
      <w:r w:rsidR="00EF1B21" w:rsidRPr="00DD5E81">
        <w:rPr>
          <w:rFonts w:asciiTheme="minorHAnsi" w:eastAsia="Arial Unicode MS" w:hAnsiTheme="minorHAnsi" w:cstheme="minorHAnsi"/>
          <w:sz w:val="22"/>
          <w:szCs w:val="22"/>
          <w:lang w:val="es-SV"/>
        </w:rPr>
        <w:t xml:space="preserve"> </w:t>
      </w:r>
      <w:r w:rsidR="00EF1B21" w:rsidRPr="00DD5E81">
        <w:rPr>
          <w:rFonts w:asciiTheme="minorHAnsi" w:eastAsia="Arial Unicode MS" w:hAnsiTheme="minorHAnsi" w:cstheme="minorHAnsi"/>
          <w:i/>
          <w:color w:val="000066"/>
          <w:sz w:val="22"/>
          <w:szCs w:val="22"/>
          <w:lang w:val="es-SV"/>
        </w:rPr>
        <w:t>Decretos Emitidos por la Asamblea Legislativa entre junio de 1991 a febrero de 2019</w:t>
      </w:r>
      <w:r w:rsidR="00EF1B21" w:rsidRPr="00DD5E81">
        <w:rPr>
          <w:rFonts w:asciiTheme="minorHAnsi" w:eastAsia="Arial Unicode MS" w:hAnsiTheme="minorHAnsi" w:cstheme="minorHAnsi"/>
          <w:sz w:val="22"/>
          <w:szCs w:val="22"/>
          <w:lang w:val="es-SV"/>
        </w:rPr>
        <w:t>;</w:t>
      </w:r>
    </w:p>
    <w:p w:rsidR="00352F8E" w:rsidRPr="00DD5E81" w:rsidRDefault="00352F8E" w:rsidP="00DD5E81">
      <w:pPr>
        <w:autoSpaceDE w:val="0"/>
        <w:autoSpaceDN w:val="0"/>
        <w:adjustRightInd w:val="0"/>
        <w:snapToGrid w:val="0"/>
        <w:spacing w:after="0" w:line="240" w:lineRule="auto"/>
        <w:ind w:firstLine="45"/>
        <w:jc w:val="both"/>
        <w:rPr>
          <w:rFonts w:eastAsia="Arial Unicode MS" w:cstheme="minorHAnsi"/>
          <w:lang w:val="es-SV" w:eastAsia="ar-SA"/>
        </w:rPr>
      </w:pPr>
    </w:p>
    <w:p w:rsidR="00633317" w:rsidRPr="00DD5E81" w:rsidRDefault="00633317" w:rsidP="00DD5E81">
      <w:pPr>
        <w:pStyle w:val="Prrafodelista"/>
        <w:numPr>
          <w:ilvl w:val="0"/>
          <w:numId w:val="45"/>
        </w:numPr>
        <w:autoSpaceDE w:val="0"/>
        <w:autoSpaceDN w:val="0"/>
        <w:adjustRightInd w:val="0"/>
        <w:snapToGrid w:val="0"/>
        <w:jc w:val="both"/>
        <w:rPr>
          <w:rFonts w:asciiTheme="minorHAnsi" w:eastAsia="Meiryo UI" w:hAnsiTheme="minorHAnsi" w:cstheme="minorHAnsi"/>
          <w:b/>
          <w:color w:val="000066"/>
          <w:sz w:val="22"/>
          <w:szCs w:val="22"/>
        </w:rPr>
      </w:pPr>
      <w:r w:rsidRPr="00DD5E81">
        <w:rPr>
          <w:rFonts w:asciiTheme="minorHAnsi" w:eastAsia="Meiryo UI" w:hAnsiTheme="minorHAnsi" w:cstheme="minorHAnsi"/>
          <w:sz w:val="22"/>
          <w:szCs w:val="22"/>
        </w:rPr>
        <w:t xml:space="preserve">Que después de analizar la base de lo solicitado, y considerando que la Ley de Acceso a la Información Pública dispone en el art. 73 que nos encontramos ante un caso de </w:t>
      </w:r>
      <w:r w:rsidRPr="00DD5E81">
        <w:rPr>
          <w:rFonts w:asciiTheme="minorHAnsi" w:eastAsia="Meiryo UI" w:hAnsiTheme="minorHAnsi" w:cstheme="minorHAnsi"/>
          <w:sz w:val="22"/>
          <w:szCs w:val="22"/>
        </w:rPr>
        <w:lastRenderedPageBreak/>
        <w:t xml:space="preserve">información </w:t>
      </w:r>
      <w:r w:rsidRPr="00DD5E81">
        <w:rPr>
          <w:rFonts w:asciiTheme="minorHAnsi" w:eastAsia="Meiryo UI" w:hAnsiTheme="minorHAnsi" w:cstheme="minorHAnsi"/>
          <w:b/>
          <w:color w:val="000066"/>
          <w:sz w:val="22"/>
          <w:szCs w:val="22"/>
        </w:rPr>
        <w:t>INEXISTENTE</w:t>
      </w:r>
      <w:r w:rsidRPr="00DD5E81">
        <w:rPr>
          <w:rFonts w:asciiTheme="minorHAnsi" w:eastAsia="Meiryo UI" w:hAnsiTheme="minorHAnsi" w:cstheme="minorHAnsi"/>
          <w:sz w:val="22"/>
          <w:szCs w:val="22"/>
        </w:rPr>
        <w:t xml:space="preserve">, lo que impide brindar lo requerido por el peticionario esta dependencia concluye: </w:t>
      </w:r>
      <w:r w:rsidRPr="00DD5E81">
        <w:rPr>
          <w:rFonts w:asciiTheme="minorHAnsi" w:eastAsia="Meiryo UI" w:hAnsiTheme="minorHAnsi" w:cstheme="minorHAnsi"/>
          <w:b/>
          <w:color w:val="000066"/>
          <w:sz w:val="22"/>
          <w:szCs w:val="22"/>
        </w:rPr>
        <w:t>NO ENTREGAR LA INFORMACIÓN SOLICITADA POR INEXISTENCIA.</w:t>
      </w:r>
    </w:p>
    <w:p w:rsidR="00EF1B21" w:rsidRPr="00DD5E81" w:rsidRDefault="00EF1B21" w:rsidP="00352F8E">
      <w:pPr>
        <w:autoSpaceDE w:val="0"/>
        <w:autoSpaceDN w:val="0"/>
        <w:adjustRightInd w:val="0"/>
        <w:snapToGrid w:val="0"/>
        <w:spacing w:after="0" w:line="240" w:lineRule="auto"/>
        <w:jc w:val="both"/>
        <w:rPr>
          <w:rFonts w:eastAsia="Meiryo UI" w:cstheme="minorHAnsi"/>
          <w:b/>
          <w:color w:val="000066"/>
        </w:rPr>
      </w:pPr>
    </w:p>
    <w:p w:rsidR="00EF1B21" w:rsidRPr="00DD5E81" w:rsidRDefault="00EF1B21" w:rsidP="00DD5E81">
      <w:pPr>
        <w:pStyle w:val="Prrafodelista"/>
        <w:numPr>
          <w:ilvl w:val="0"/>
          <w:numId w:val="45"/>
        </w:numPr>
        <w:autoSpaceDE w:val="0"/>
        <w:autoSpaceDN w:val="0"/>
        <w:adjustRightInd w:val="0"/>
        <w:snapToGrid w:val="0"/>
        <w:jc w:val="both"/>
        <w:rPr>
          <w:rFonts w:asciiTheme="minorHAnsi" w:eastAsia="Arial Unicode MS" w:hAnsiTheme="minorHAnsi" w:cstheme="minorHAnsi"/>
          <w:b/>
          <w:color w:val="000099"/>
          <w:sz w:val="22"/>
          <w:szCs w:val="22"/>
        </w:rPr>
      </w:pPr>
      <w:r w:rsidRPr="00DD5E81">
        <w:rPr>
          <w:rFonts w:asciiTheme="minorHAnsi" w:eastAsia="Meiryo UI" w:hAnsiTheme="minorHAnsi" w:cstheme="minorHAnsi"/>
          <w:sz w:val="22"/>
          <w:szCs w:val="22"/>
        </w:rPr>
        <w:t xml:space="preserve">Que también fundamentados en </w:t>
      </w:r>
      <w:r w:rsidRPr="00DD5E81">
        <w:rPr>
          <w:rFonts w:asciiTheme="minorHAnsi" w:eastAsia="Arial Unicode MS" w:hAnsiTheme="minorHAnsi" w:cstheme="minorHAnsi"/>
          <w:sz w:val="22"/>
          <w:szCs w:val="22"/>
        </w:rPr>
        <w:t xml:space="preserve">lo establecido en los arts. 65, 66 inc.6°, 68 inc. 2o. y 72 de la Ley de Acceso a la Información Pública y el art. 49 del Reglamento de dicha Ley, </w:t>
      </w:r>
      <w:r w:rsidRPr="00DD5E81">
        <w:rPr>
          <w:rFonts w:asciiTheme="minorHAnsi" w:eastAsia="Arial Unicode MS" w:hAnsiTheme="minorHAnsi" w:cstheme="minorHAnsi"/>
          <w:sz w:val="22"/>
          <w:szCs w:val="22"/>
        </w:rPr>
        <w:t xml:space="preserve">que </w:t>
      </w:r>
      <w:r w:rsidRPr="00DD5E81">
        <w:rPr>
          <w:rFonts w:asciiTheme="minorHAnsi" w:eastAsia="Arial Unicode MS" w:hAnsiTheme="minorHAnsi" w:cstheme="minorHAnsi"/>
          <w:sz w:val="22"/>
          <w:szCs w:val="22"/>
        </w:rPr>
        <w:t xml:space="preserve">la información solicitada es </w:t>
      </w:r>
      <w:r w:rsidR="00A02ED1">
        <w:rPr>
          <w:rFonts w:asciiTheme="minorHAnsi" w:eastAsia="Arial Unicode MS" w:hAnsiTheme="minorHAnsi" w:cstheme="minorHAnsi"/>
          <w:sz w:val="22"/>
          <w:szCs w:val="22"/>
        </w:rPr>
        <w:t>c</w:t>
      </w:r>
      <w:r w:rsidRPr="00DD5E81">
        <w:rPr>
          <w:rFonts w:asciiTheme="minorHAnsi" w:eastAsia="Arial Unicode MS" w:hAnsiTheme="minorHAnsi" w:cstheme="minorHAnsi"/>
          <w:sz w:val="22"/>
          <w:szCs w:val="22"/>
        </w:rPr>
        <w:t xml:space="preserve">ompetencia de </w:t>
      </w:r>
      <w:r w:rsidR="00A02ED1">
        <w:rPr>
          <w:rFonts w:asciiTheme="minorHAnsi" w:eastAsia="Arial Unicode MS" w:hAnsiTheme="minorHAnsi" w:cstheme="minorHAnsi"/>
          <w:sz w:val="22"/>
          <w:szCs w:val="22"/>
        </w:rPr>
        <w:t xml:space="preserve">otra </w:t>
      </w:r>
      <w:r w:rsidRPr="00DD5E81">
        <w:rPr>
          <w:rFonts w:asciiTheme="minorHAnsi" w:eastAsia="Arial Unicode MS" w:hAnsiTheme="minorHAnsi" w:cstheme="minorHAnsi"/>
          <w:sz w:val="22"/>
          <w:szCs w:val="22"/>
        </w:rPr>
        <w:t xml:space="preserve">dependencia, por tanto determina y resuelve: </w:t>
      </w:r>
      <w:r w:rsidRPr="00DD5E81">
        <w:rPr>
          <w:rFonts w:asciiTheme="minorHAnsi" w:eastAsia="Arial Unicode MS" w:hAnsiTheme="minorHAnsi" w:cstheme="minorHAnsi"/>
          <w:b/>
          <w:color w:val="000099"/>
          <w:sz w:val="22"/>
          <w:szCs w:val="22"/>
        </w:rPr>
        <w:t>NO ENTREGAR LA INFORMACION</w:t>
      </w:r>
      <w:r w:rsidR="00A02ED1" w:rsidRPr="00A02ED1">
        <w:rPr>
          <w:rFonts w:asciiTheme="minorHAnsi" w:eastAsia="Arial Unicode MS" w:hAnsiTheme="minorHAnsi" w:cstheme="minorHAnsi"/>
          <w:sz w:val="22"/>
          <w:szCs w:val="22"/>
        </w:rPr>
        <w:t xml:space="preserve">; recomendamos solicitar la información a la </w:t>
      </w:r>
      <w:r w:rsidR="00DD5E81" w:rsidRPr="00A02ED1">
        <w:rPr>
          <w:rFonts w:asciiTheme="minorHAnsi" w:eastAsia="Arial Unicode MS" w:hAnsiTheme="minorHAnsi" w:cstheme="minorHAnsi"/>
          <w:sz w:val="22"/>
          <w:szCs w:val="22"/>
        </w:rPr>
        <w:t>institución que emite los Decretos Legislativos</w:t>
      </w:r>
      <w:r w:rsidR="00DD5E81" w:rsidRPr="00A02ED1">
        <w:rPr>
          <w:rFonts w:asciiTheme="minorHAnsi" w:eastAsia="Arial Unicode MS" w:hAnsiTheme="minorHAnsi" w:cstheme="minorHAnsi"/>
          <w:color w:val="000099"/>
          <w:sz w:val="22"/>
          <w:szCs w:val="22"/>
        </w:rPr>
        <w:t>.</w:t>
      </w:r>
    </w:p>
    <w:p w:rsidR="00633317" w:rsidRPr="00DD5E81" w:rsidRDefault="00633317" w:rsidP="00633317">
      <w:pPr>
        <w:tabs>
          <w:tab w:val="left" w:pos="5115"/>
        </w:tabs>
        <w:spacing w:after="0" w:line="240" w:lineRule="auto"/>
        <w:ind w:firstLine="45"/>
        <w:jc w:val="both"/>
        <w:rPr>
          <w:rFonts w:eastAsia="Arial Unicode MS" w:cstheme="minorHAnsi"/>
          <w:lang w:val="es-SV"/>
        </w:rPr>
      </w:pPr>
    </w:p>
    <w:p w:rsidR="00EF1B21" w:rsidRPr="00DD5E81" w:rsidRDefault="00EF1B21" w:rsidP="00DD5E81">
      <w:pPr>
        <w:pStyle w:val="Prrafodelista"/>
        <w:numPr>
          <w:ilvl w:val="0"/>
          <w:numId w:val="45"/>
        </w:numPr>
        <w:autoSpaceDE w:val="0"/>
        <w:autoSpaceDN w:val="0"/>
        <w:adjustRightInd w:val="0"/>
        <w:snapToGri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Por lo tanto sugerimos requerir la información a</w:t>
      </w:r>
      <w:r w:rsidR="00DD5E81" w:rsidRPr="00DD5E81">
        <w:rPr>
          <w:rFonts w:asciiTheme="minorHAnsi" w:eastAsia="Meiryo UI" w:hAnsiTheme="minorHAnsi" w:cstheme="minorHAnsi"/>
          <w:sz w:val="22"/>
          <w:szCs w:val="22"/>
        </w:rPr>
        <w:t xml:space="preserve"> la</w:t>
      </w:r>
      <w:r w:rsidRPr="00DD5E81">
        <w:rPr>
          <w:rFonts w:asciiTheme="minorHAnsi" w:eastAsia="Meiryo UI" w:hAnsiTheme="minorHAnsi" w:cstheme="minorHAnsi"/>
          <w:sz w:val="22"/>
          <w:szCs w:val="22"/>
        </w:rPr>
        <w:t xml:space="preserve"> Unidad de Acceso a la Información Pública de la </w:t>
      </w:r>
      <w:r w:rsidRPr="00DD5E81">
        <w:rPr>
          <w:rFonts w:asciiTheme="minorHAnsi" w:eastAsia="Meiryo UI" w:hAnsiTheme="minorHAnsi" w:cstheme="minorHAnsi"/>
          <w:b/>
          <w:color w:val="000066"/>
          <w:sz w:val="22"/>
          <w:szCs w:val="22"/>
        </w:rPr>
        <w:t>Asamblea Legislativa</w:t>
      </w:r>
      <w:r w:rsidRPr="00DD5E81">
        <w:rPr>
          <w:rFonts w:asciiTheme="minorHAnsi" w:eastAsia="Meiryo UI" w:hAnsiTheme="minorHAnsi" w:cstheme="minorHAnsi"/>
          <w:sz w:val="22"/>
          <w:szCs w:val="22"/>
        </w:rPr>
        <w:t xml:space="preserve">, </w:t>
      </w:r>
      <w:r w:rsidR="00DD5E81" w:rsidRPr="00DD5E81">
        <w:rPr>
          <w:rFonts w:asciiTheme="minorHAnsi" w:eastAsia="Meiryo UI" w:hAnsiTheme="minorHAnsi" w:cstheme="minorHAnsi"/>
          <w:sz w:val="22"/>
          <w:szCs w:val="22"/>
        </w:rPr>
        <w:t xml:space="preserve">Oficial de Información Manuel Galdámez </w:t>
      </w:r>
      <w:r w:rsidRPr="00DD5E81">
        <w:rPr>
          <w:rFonts w:asciiTheme="minorHAnsi" w:eastAsia="Meiryo UI" w:hAnsiTheme="minorHAnsi" w:cstheme="minorHAnsi"/>
          <w:sz w:val="22"/>
          <w:szCs w:val="22"/>
        </w:rPr>
        <w:t xml:space="preserve">al siguiente correo electrónico: </w:t>
      </w:r>
      <w:hyperlink r:id="rId9" w:history="1">
        <w:r w:rsidRPr="00DD5E81">
          <w:rPr>
            <w:rStyle w:val="Hipervnculo"/>
            <w:rFonts w:asciiTheme="minorHAnsi" w:hAnsiTheme="minorHAnsi" w:cstheme="minorHAnsi"/>
            <w:i/>
            <w:iCs/>
            <w:sz w:val="22"/>
            <w:szCs w:val="22"/>
            <w:shd w:val="clear" w:color="auto" w:fill="FFFFFF"/>
          </w:rPr>
          <w:t>transparencia@asamblea.gob.sv</w:t>
        </w:r>
      </w:hyperlink>
      <w:r w:rsidRPr="00DD5E81">
        <w:rPr>
          <w:rFonts w:asciiTheme="minorHAnsi" w:hAnsiTheme="minorHAnsi" w:cstheme="minorHAnsi"/>
          <w:i/>
          <w:iCs/>
          <w:color w:val="717172"/>
          <w:sz w:val="22"/>
          <w:szCs w:val="22"/>
          <w:shd w:val="clear" w:color="auto" w:fill="FFFFFF"/>
        </w:rPr>
        <w:t>;</w:t>
      </w:r>
      <w:r w:rsidR="00DD5E81" w:rsidRPr="00DD5E81">
        <w:rPr>
          <w:rFonts w:asciiTheme="minorHAnsi" w:hAnsiTheme="minorHAnsi" w:cstheme="minorHAnsi"/>
          <w:i/>
          <w:iCs/>
          <w:color w:val="717172"/>
          <w:sz w:val="22"/>
          <w:szCs w:val="22"/>
          <w:shd w:val="clear" w:color="auto" w:fill="FFFFFF"/>
        </w:rPr>
        <w:t xml:space="preserve"> </w:t>
      </w:r>
      <w:r w:rsidRPr="00DD5E81">
        <w:rPr>
          <w:rFonts w:asciiTheme="minorHAnsi" w:eastAsia="Meiryo UI" w:hAnsiTheme="minorHAnsi" w:cstheme="minorHAnsi"/>
          <w:sz w:val="22"/>
          <w:szCs w:val="22"/>
        </w:rPr>
        <w:t>Teléfono oficina: 2281 9243</w:t>
      </w:r>
      <w:r w:rsidR="00DD5E81" w:rsidRPr="00DD5E81">
        <w:rPr>
          <w:rFonts w:asciiTheme="minorHAnsi" w:eastAsia="Meiryo UI" w:hAnsiTheme="minorHAnsi" w:cstheme="minorHAnsi"/>
          <w:sz w:val="22"/>
          <w:szCs w:val="22"/>
        </w:rPr>
        <w:t>.</w:t>
      </w:r>
    </w:p>
    <w:p w:rsidR="00DD5E81" w:rsidRPr="00DD5E81" w:rsidRDefault="00DD5E81" w:rsidP="00EF1B21">
      <w:pPr>
        <w:autoSpaceDE w:val="0"/>
        <w:autoSpaceDN w:val="0"/>
        <w:adjustRightInd w:val="0"/>
        <w:snapToGrid w:val="0"/>
        <w:spacing w:after="0" w:line="240" w:lineRule="auto"/>
        <w:jc w:val="both"/>
        <w:rPr>
          <w:rFonts w:eastAsia="Meiryo UI" w:cstheme="minorHAnsi"/>
        </w:rPr>
      </w:pPr>
    </w:p>
    <w:p w:rsidR="00633317" w:rsidRPr="00DD5E81" w:rsidRDefault="00633317" w:rsidP="00DD5E81">
      <w:pPr>
        <w:pStyle w:val="Prrafodelista"/>
        <w:numPr>
          <w:ilvl w:val="0"/>
          <w:numId w:val="45"/>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10"/>
      <w:footerReference w:type="default" r:id="rId11"/>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FB3" w:rsidRDefault="00D73FB3">
      <w:pPr>
        <w:spacing w:after="0" w:line="240" w:lineRule="auto"/>
      </w:pPr>
      <w:r>
        <w:separator/>
      </w:r>
    </w:p>
  </w:endnote>
  <w:endnote w:type="continuationSeparator" w:id="0">
    <w:p w:rsidR="00D73FB3" w:rsidRDefault="00D7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2CEA64B" wp14:editId="3CCE6516">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B81A92">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B81A92">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FB3" w:rsidRDefault="00D73FB3">
      <w:pPr>
        <w:spacing w:after="0" w:line="240" w:lineRule="auto"/>
      </w:pPr>
      <w:r>
        <w:separator/>
      </w:r>
    </w:p>
  </w:footnote>
  <w:footnote w:type="continuationSeparator" w:id="0">
    <w:p w:rsidR="00D73FB3" w:rsidRDefault="00D73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B13BA"/>
    <w:multiLevelType w:val="hybridMultilevel"/>
    <w:tmpl w:val="EE061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0">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4">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5">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0"/>
  </w:num>
  <w:num w:numId="3">
    <w:abstractNumId w:val="19"/>
  </w:num>
  <w:num w:numId="4">
    <w:abstractNumId w:val="38"/>
  </w:num>
  <w:num w:numId="5">
    <w:abstractNumId w:val="42"/>
  </w:num>
  <w:num w:numId="6">
    <w:abstractNumId w:val="23"/>
  </w:num>
  <w:num w:numId="7">
    <w:abstractNumId w:val="35"/>
  </w:num>
  <w:num w:numId="8">
    <w:abstractNumId w:val="15"/>
  </w:num>
  <w:num w:numId="9">
    <w:abstractNumId w:val="7"/>
  </w:num>
  <w:num w:numId="10">
    <w:abstractNumId w:val="18"/>
  </w:num>
  <w:num w:numId="11">
    <w:abstractNumId w:val="11"/>
  </w:num>
  <w:num w:numId="12">
    <w:abstractNumId w:val="37"/>
  </w:num>
  <w:num w:numId="13">
    <w:abstractNumId w:val="40"/>
  </w:num>
  <w:num w:numId="14">
    <w:abstractNumId w:val="41"/>
  </w:num>
  <w:num w:numId="15">
    <w:abstractNumId w:val="6"/>
  </w:num>
  <w:num w:numId="16">
    <w:abstractNumId w:val="9"/>
  </w:num>
  <w:num w:numId="17">
    <w:abstractNumId w:val="39"/>
  </w:num>
  <w:num w:numId="18">
    <w:abstractNumId w:val="12"/>
  </w:num>
  <w:num w:numId="19">
    <w:abstractNumId w:val="27"/>
  </w:num>
  <w:num w:numId="20">
    <w:abstractNumId w:val="20"/>
  </w:num>
  <w:num w:numId="21">
    <w:abstractNumId w:val="32"/>
  </w:num>
  <w:num w:numId="22">
    <w:abstractNumId w:val="4"/>
  </w:num>
  <w:num w:numId="23">
    <w:abstractNumId w:val="22"/>
  </w:num>
  <w:num w:numId="24">
    <w:abstractNumId w:val="24"/>
  </w:num>
  <w:num w:numId="25">
    <w:abstractNumId w:val="0"/>
  </w:num>
  <w:num w:numId="26">
    <w:abstractNumId w:val="5"/>
  </w:num>
  <w:num w:numId="27">
    <w:abstractNumId w:val="30"/>
  </w:num>
  <w:num w:numId="28">
    <w:abstractNumId w:val="34"/>
  </w:num>
  <w:num w:numId="29">
    <w:abstractNumId w:val="28"/>
  </w:num>
  <w:num w:numId="30">
    <w:abstractNumId w:val="31"/>
  </w:num>
  <w:num w:numId="31">
    <w:abstractNumId w:val="2"/>
  </w:num>
  <w:num w:numId="32">
    <w:abstractNumId w:val="25"/>
  </w:num>
  <w:num w:numId="33">
    <w:abstractNumId w:val="29"/>
  </w:num>
  <w:num w:numId="34">
    <w:abstractNumId w:val="30"/>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3"/>
  </w:num>
  <w:num w:numId="39">
    <w:abstractNumId w:val="36"/>
  </w:num>
  <w:num w:numId="40">
    <w:abstractNumId w:val="14"/>
  </w:num>
  <w:num w:numId="41">
    <w:abstractNumId w:val="1"/>
  </w:num>
  <w:num w:numId="42">
    <w:abstractNumId w:val="33"/>
  </w:num>
  <w:num w:numId="43">
    <w:abstractNumId w:val="21"/>
  </w:num>
  <w:num w:numId="44">
    <w:abstractNumId w:val="17"/>
  </w:num>
  <w:num w:numId="45">
    <w:abstractNumId w:val="16"/>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100855"/>
    <w:rsid w:val="00101B67"/>
    <w:rsid w:val="00101FC8"/>
    <w:rsid w:val="001045DC"/>
    <w:rsid w:val="00117B84"/>
    <w:rsid w:val="0013009A"/>
    <w:rsid w:val="00186817"/>
    <w:rsid w:val="001932C6"/>
    <w:rsid w:val="001B30C2"/>
    <w:rsid w:val="001C5B10"/>
    <w:rsid w:val="001D1A4C"/>
    <w:rsid w:val="001F2092"/>
    <w:rsid w:val="001F4004"/>
    <w:rsid w:val="00240AE9"/>
    <w:rsid w:val="0024111A"/>
    <w:rsid w:val="002475D8"/>
    <w:rsid w:val="00281E5E"/>
    <w:rsid w:val="00287E5C"/>
    <w:rsid w:val="002A7749"/>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61D11"/>
    <w:rsid w:val="00474C71"/>
    <w:rsid w:val="0049769E"/>
    <w:rsid w:val="004A53F4"/>
    <w:rsid w:val="004C6A24"/>
    <w:rsid w:val="004D3A2C"/>
    <w:rsid w:val="004D6136"/>
    <w:rsid w:val="005114CC"/>
    <w:rsid w:val="005327E1"/>
    <w:rsid w:val="00550202"/>
    <w:rsid w:val="005560DA"/>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E036D"/>
    <w:rsid w:val="006E0B62"/>
    <w:rsid w:val="006E2A2E"/>
    <w:rsid w:val="006E406D"/>
    <w:rsid w:val="006E603C"/>
    <w:rsid w:val="006F3EE8"/>
    <w:rsid w:val="00733362"/>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1A92"/>
    <w:rsid w:val="00B8713F"/>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5C8C"/>
    <w:rsid w:val="00C965F5"/>
    <w:rsid w:val="00CD06C4"/>
    <w:rsid w:val="00CE285C"/>
    <w:rsid w:val="00CF0688"/>
    <w:rsid w:val="00CF06D8"/>
    <w:rsid w:val="00CF3465"/>
    <w:rsid w:val="00D07669"/>
    <w:rsid w:val="00D104FA"/>
    <w:rsid w:val="00D34E63"/>
    <w:rsid w:val="00D40168"/>
    <w:rsid w:val="00D40D75"/>
    <w:rsid w:val="00D42866"/>
    <w:rsid w:val="00D73FB3"/>
    <w:rsid w:val="00D94856"/>
    <w:rsid w:val="00DA77B7"/>
    <w:rsid w:val="00DB0A6A"/>
    <w:rsid w:val="00DB77B7"/>
    <w:rsid w:val="00DC560F"/>
    <w:rsid w:val="00DC59A4"/>
    <w:rsid w:val="00DD5E81"/>
    <w:rsid w:val="00E03E52"/>
    <w:rsid w:val="00E26614"/>
    <w:rsid w:val="00E4518C"/>
    <w:rsid w:val="00E52515"/>
    <w:rsid w:val="00E604D2"/>
    <w:rsid w:val="00E65CE0"/>
    <w:rsid w:val="00E754BC"/>
    <w:rsid w:val="00E76B1E"/>
    <w:rsid w:val="00EB5DD0"/>
    <w:rsid w:val="00EC3537"/>
    <w:rsid w:val="00EC4757"/>
    <w:rsid w:val="00ED446A"/>
    <w:rsid w:val="00EE0D5A"/>
    <w:rsid w:val="00EF1B21"/>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81A9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B81A92"/>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81A9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B81A92"/>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ransparencia@asamblea.gob.s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4E2C-7C94-44A8-A13A-21C302BD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2019-04-05T23:19:00Z</cp:lastPrinted>
  <dcterms:created xsi:type="dcterms:W3CDTF">2019-04-05T23:20:00Z</dcterms:created>
  <dcterms:modified xsi:type="dcterms:W3CDTF">2019-04-05T23:20:00Z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