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D0" w:rsidRDefault="00D208D0" w:rsidP="00D208D0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D208D0" w:rsidRDefault="00D208D0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</w:rPr>
      </w:pPr>
    </w:p>
    <w:p w:rsidR="00FC52D2" w:rsidRPr="002A2DA6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u w:val="single"/>
        </w:rPr>
      </w:pPr>
      <w:r w:rsidRPr="002A2DA6">
        <w:rPr>
          <w:rFonts w:eastAsia="Arial Unicode MS" w:cstheme="minorHAnsi"/>
          <w:b/>
          <w:color w:val="000099"/>
        </w:rPr>
        <w:t xml:space="preserve">RESOLUCIÓN EN RESPUESTA A SOLICITUD DE INFORMACIÓN </w:t>
      </w:r>
      <w:r w:rsidRPr="002A2DA6">
        <w:rPr>
          <w:rFonts w:eastAsia="Arial Unicode MS" w:cstheme="minorHAnsi"/>
          <w:b/>
          <w:color w:val="000099"/>
          <w:u w:val="single"/>
        </w:rPr>
        <w:t xml:space="preserve">MAG OIR N° </w:t>
      </w:r>
      <w:r w:rsidR="004202A6">
        <w:rPr>
          <w:rFonts w:eastAsia="Arial Unicode MS" w:cstheme="minorHAnsi"/>
          <w:b/>
          <w:color w:val="000099"/>
          <w:u w:val="single"/>
        </w:rPr>
        <w:t>004</w:t>
      </w:r>
      <w:r w:rsidRPr="002A2DA6">
        <w:rPr>
          <w:rFonts w:eastAsia="Arial Unicode MS" w:cstheme="minorHAnsi"/>
          <w:b/>
          <w:color w:val="000099"/>
          <w:u w:val="single"/>
        </w:rPr>
        <w:t>-201</w:t>
      </w:r>
      <w:r w:rsidR="004202A6">
        <w:rPr>
          <w:rFonts w:eastAsia="Arial Unicode MS" w:cstheme="minorHAnsi"/>
          <w:b/>
          <w:color w:val="000099"/>
          <w:u w:val="single"/>
        </w:rPr>
        <w:t>9</w:t>
      </w:r>
    </w:p>
    <w:p w:rsidR="004A31D8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 xml:space="preserve">Santa Tecla, departamento de La Libertad a las </w:t>
      </w:r>
      <w:r w:rsidR="004202A6">
        <w:rPr>
          <w:rFonts w:eastAsia="Arial Unicode MS" w:cstheme="minorHAnsi"/>
          <w:color w:val="000099"/>
        </w:rPr>
        <w:t>once</w:t>
      </w:r>
      <w:r w:rsidRPr="002A2DA6">
        <w:rPr>
          <w:rFonts w:eastAsia="Arial Unicode MS" w:cstheme="minorHAnsi"/>
          <w:color w:val="000099"/>
        </w:rPr>
        <w:t xml:space="preserve"> horas del </w:t>
      </w:r>
      <w:r w:rsidR="000B71D5">
        <w:rPr>
          <w:rFonts w:eastAsia="Arial Unicode MS" w:cstheme="minorHAnsi"/>
          <w:color w:val="000099"/>
        </w:rPr>
        <w:t xml:space="preserve">día </w:t>
      </w:r>
      <w:r w:rsidR="004202A6">
        <w:rPr>
          <w:rFonts w:eastAsia="Arial Unicode MS" w:cstheme="minorHAnsi"/>
          <w:color w:val="000099"/>
        </w:rPr>
        <w:t xml:space="preserve">diecisiete de enero de </w:t>
      </w:r>
      <w:r w:rsidRPr="002A2DA6">
        <w:rPr>
          <w:rFonts w:eastAsia="Arial Unicode MS" w:cstheme="minorHAnsi"/>
          <w:color w:val="000099"/>
        </w:rPr>
        <w:t>dos mil dieci</w:t>
      </w:r>
      <w:r w:rsidR="004202A6">
        <w:rPr>
          <w:rFonts w:eastAsia="Arial Unicode MS" w:cstheme="minorHAnsi"/>
          <w:color w:val="000099"/>
        </w:rPr>
        <w:t>nueve</w:t>
      </w:r>
      <w:r w:rsidRPr="002A2DA6">
        <w:rPr>
          <w:rFonts w:eastAsia="Arial Unicode MS" w:cstheme="minorHAnsi"/>
          <w:color w:val="002060"/>
        </w:rPr>
        <w:t>,</w:t>
      </w:r>
      <w:r w:rsidRPr="002A2DA6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Pr="002A2DA6">
        <w:rPr>
          <w:rFonts w:eastAsia="Arial Unicode MS" w:cstheme="minorHAnsi"/>
          <w:b/>
          <w:color w:val="000099"/>
        </w:rPr>
        <w:t xml:space="preserve">MAG OIR No. </w:t>
      </w:r>
      <w:r w:rsidR="004202A6">
        <w:rPr>
          <w:rFonts w:eastAsia="Arial Unicode MS" w:cstheme="minorHAnsi"/>
          <w:b/>
          <w:color w:val="000099"/>
        </w:rPr>
        <w:t>004</w:t>
      </w:r>
      <w:r w:rsidRPr="002A2DA6">
        <w:rPr>
          <w:rFonts w:eastAsia="Arial Unicode MS" w:cstheme="minorHAnsi"/>
          <w:b/>
          <w:color w:val="000099"/>
        </w:rPr>
        <w:t>-201</w:t>
      </w:r>
      <w:r w:rsidR="004202A6">
        <w:rPr>
          <w:rFonts w:eastAsia="Arial Unicode MS" w:cstheme="minorHAnsi"/>
          <w:b/>
          <w:color w:val="000099"/>
        </w:rPr>
        <w:t>9</w:t>
      </w:r>
      <w:r w:rsidRPr="002A2DA6">
        <w:rPr>
          <w:rFonts w:eastAsia="Arial Unicode MS" w:cstheme="minorHAnsi"/>
          <w:color w:val="000099"/>
        </w:rPr>
        <w:t xml:space="preserve"> </w:t>
      </w:r>
      <w:r w:rsidRPr="002A2DA6">
        <w:rPr>
          <w:rFonts w:eastAsia="Arial Unicode MS" w:cstheme="minorHAnsi"/>
        </w:rPr>
        <w:t>sobre:</w:t>
      </w:r>
    </w:p>
    <w:p w:rsidR="000B71D5" w:rsidRP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Arial Unicode MS" w:cstheme="minorHAnsi"/>
          <w:color w:val="000099"/>
        </w:rPr>
      </w:pPr>
      <w:r w:rsidRPr="004202A6">
        <w:rPr>
          <w:rFonts w:eastAsia="Arial Unicode MS" w:cstheme="minorHAnsi"/>
          <w:color w:val="000099"/>
        </w:rPr>
        <w:t>Cuál es el procedimiento para obtener un numero de regente de agroquímicos, cuáles son todos</w:t>
      </w:r>
      <w:r>
        <w:rPr>
          <w:rFonts w:eastAsia="Arial Unicode MS" w:cstheme="minorHAnsi"/>
          <w:color w:val="000099"/>
        </w:rPr>
        <w:t xml:space="preserve"> </w:t>
      </w:r>
      <w:r w:rsidRPr="004202A6">
        <w:rPr>
          <w:rFonts w:eastAsia="Arial Unicode MS" w:cstheme="minorHAnsi"/>
          <w:color w:val="000099"/>
        </w:rPr>
        <w:t>los pasos</w:t>
      </w:r>
    </w:p>
    <w:p w:rsidR="004202A6" w:rsidRPr="004202A6" w:rsidRDefault="004202A6" w:rsidP="004202A6">
      <w:pPr>
        <w:pStyle w:val="Prrafodelista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  <w:lang w:eastAsia="es-ES"/>
        </w:rPr>
      </w:pPr>
    </w:p>
    <w:p w:rsidR="00FC52D2" w:rsidRPr="002A2DA6" w:rsidRDefault="00FC52D2" w:rsidP="00871CCE">
      <w:pPr>
        <w:autoSpaceDE w:val="0"/>
        <w:autoSpaceDN w:val="0"/>
        <w:adjustRightInd w:val="0"/>
        <w:snapToGrid w:val="0"/>
        <w:jc w:val="both"/>
        <w:rPr>
          <w:rFonts w:eastAsia="Arial Unicode MS" w:cstheme="minorHAnsi"/>
        </w:rPr>
      </w:pPr>
      <w:r w:rsidRPr="002A2DA6">
        <w:rPr>
          <w:rFonts w:eastAsia="Arial Unicode MS" w:cstheme="minorHAnsi"/>
        </w:rPr>
        <w:t>Presentada ante la Oficina de Información y Respuesta de esta dependencia por parte de:</w:t>
      </w:r>
      <w:r w:rsidR="004A31D8" w:rsidRPr="002A2DA6">
        <w:rPr>
          <w:rFonts w:eastAsia="Arial Unicode MS" w:cstheme="minorHAnsi"/>
        </w:rPr>
        <w:t xml:space="preserve"> </w:t>
      </w:r>
      <w:r w:rsidR="00D208D0">
        <w:rPr>
          <w:rFonts w:eastAsia="Arial Unicode MS" w:cstheme="minorHAnsi"/>
        </w:rPr>
        <w:t>--</w:t>
      </w:r>
      <w:r w:rsidRPr="002A2DA6">
        <w:rPr>
          <w:rFonts w:eastAsia="Arial Unicode MS" w:cstheme="minorHAnsi"/>
          <w:b/>
          <w:color w:val="000099"/>
        </w:rPr>
        <w:t xml:space="preserve">, </w:t>
      </w:r>
      <w:r w:rsidRPr="002A2DA6">
        <w:rPr>
          <w:rFonts w:eastAsia="Arial Unicode MS" w:cstheme="minorHAnsi"/>
        </w:rPr>
        <w:t>y considerando que la información solicitada, cumple con los requisitos establecidos en el art. 66 de La ley de Acceso a la Información Pública</w:t>
      </w:r>
      <w:r w:rsidR="004A31D8" w:rsidRPr="002A2DA6">
        <w:rPr>
          <w:rFonts w:eastAsia="Arial Unicode MS" w:cstheme="minorHAnsi"/>
        </w:rPr>
        <w:t>-LAIP</w:t>
      </w:r>
      <w:r w:rsidRPr="002A2DA6">
        <w:rPr>
          <w:rFonts w:eastAsia="Arial Unicode MS" w:cstheme="minorHAnsi"/>
        </w:rPr>
        <w:t xml:space="preserve">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2A2DA6">
        <w:rPr>
          <w:rFonts w:eastAsia="Arial Unicode MS" w:cstheme="minorHAnsi"/>
        </w:rPr>
        <w:t>resuelve</w:t>
      </w:r>
      <w:proofErr w:type="gramEnd"/>
      <w:r w:rsidRPr="002A2DA6">
        <w:rPr>
          <w:rFonts w:eastAsia="Arial Unicode MS" w:cstheme="minorHAnsi"/>
        </w:rPr>
        <w:t>:</w:t>
      </w:r>
    </w:p>
    <w:p w:rsidR="00FC52D2" w:rsidRPr="002A2DA6" w:rsidRDefault="00FC52D2" w:rsidP="00FC52D2">
      <w:pPr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PROPORCIONAR LA INFORMACIÓN SOLICITADA</w:t>
      </w:r>
    </w:p>
    <w:p w:rsidR="002A2DA6" w:rsidRDefault="00FC52D2" w:rsidP="002A2DA6">
      <w:pPr>
        <w:jc w:val="both"/>
        <w:rPr>
          <w:rFonts w:cstheme="minorHAnsi"/>
        </w:rPr>
      </w:pPr>
      <w:r w:rsidRPr="002A2DA6">
        <w:rPr>
          <w:rFonts w:cstheme="minorHAnsi"/>
        </w:rPr>
        <w:t xml:space="preserve">Al respecto se </w:t>
      </w:r>
      <w:r w:rsidR="002A2DA6" w:rsidRPr="002A2DA6">
        <w:rPr>
          <w:rFonts w:cstheme="minorHAnsi"/>
        </w:rPr>
        <w:t>d</w:t>
      </w:r>
      <w:r w:rsidR="000B71D5">
        <w:rPr>
          <w:rFonts w:cstheme="minorHAnsi"/>
        </w:rPr>
        <w:t xml:space="preserve">escribe lo informado por la Dirección General de </w:t>
      </w:r>
      <w:r w:rsidR="004202A6">
        <w:rPr>
          <w:rFonts w:cstheme="minorHAnsi"/>
        </w:rPr>
        <w:t>Sanidad Vegetal</w:t>
      </w:r>
      <w:r w:rsidR="001F08C8">
        <w:rPr>
          <w:rFonts w:cstheme="minorHAnsi"/>
        </w:rPr>
        <w:t>-DGSV</w:t>
      </w:r>
      <w:r w:rsidR="002A2DA6" w:rsidRPr="002A2DA6">
        <w:rPr>
          <w:rFonts w:cstheme="minorHAnsi"/>
        </w:rPr>
        <w:t>:</w:t>
      </w:r>
    </w:p>
    <w:p w:rsid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Con </w:t>
      </w:r>
      <w:r w:rsidRPr="004202A6">
        <w:rPr>
          <w:rFonts w:eastAsia="Times New Roman" w:cstheme="minorHAnsi"/>
          <w:szCs w:val="24"/>
          <w:lang w:val="x-none"/>
        </w:rPr>
        <w:t>relación a la información solicitada, es necesario aclarar que en el proceso de registro no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se adjudica un numero de regencia, el procedimiento es registrar la empresa y dentro del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registro se incluye el profesional o profesio</w:t>
      </w:r>
      <w:r w:rsidR="001F08C8">
        <w:rPr>
          <w:rFonts w:eastAsia="Times New Roman" w:cstheme="minorHAnsi"/>
          <w:szCs w:val="24"/>
          <w:lang w:val="x-none"/>
        </w:rPr>
        <w:t>nales idóneos a la naturaleza d</w:t>
      </w:r>
      <w:r w:rsidR="001F08C8">
        <w:rPr>
          <w:rFonts w:eastAsia="Times New Roman" w:cstheme="minorHAnsi"/>
          <w:szCs w:val="24"/>
        </w:rPr>
        <w:t>e la</w:t>
      </w:r>
      <w:r w:rsidRPr="004202A6">
        <w:rPr>
          <w:rFonts w:eastAsia="Times New Roman" w:cstheme="minorHAnsi"/>
          <w:szCs w:val="24"/>
          <w:lang w:val="x-none"/>
        </w:rPr>
        <w:t xml:space="preserve"> actividad que le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prestan el servicio de Regencia, cabe mencionar que la ley solo limita la cantidad de</w:t>
      </w:r>
      <w:r w:rsidRPr="004202A6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  <w:lang w:val="x-none"/>
        </w:rPr>
        <w:t xml:space="preserve">empresas que pueden </w:t>
      </w:r>
      <w:r w:rsidRPr="004202A6">
        <w:rPr>
          <w:rFonts w:eastAsia="Times New Roman" w:cstheme="minorHAnsi"/>
          <w:szCs w:val="24"/>
          <w:lang w:val="x-none"/>
        </w:rPr>
        <w:t>regentear un profesional cuando la empresa es un agro servicio (tal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como lo expresa el Artículo 47 Del REGLAMENTO PARA LA APLICACIÓN DE LA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LEY SOBRE CONTROL DE PESTICIDAS, FERTILIZANTESY PRODUCTOS PARA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USO AGROPECUARIO, Decreto No. 28 publicado en el D.O. No. 101,tomo 267 de fecha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30 de mayo de 1980 que literalmente indica:</w:t>
      </w:r>
    </w:p>
    <w:p w:rsidR="004202A6" w:rsidRP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</w:p>
    <w:p w:rsidR="004202A6" w:rsidRP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i/>
          <w:szCs w:val="24"/>
        </w:rPr>
      </w:pPr>
      <w:r w:rsidRPr="004202A6">
        <w:rPr>
          <w:rFonts w:eastAsia="Times New Roman" w:cstheme="minorHAnsi"/>
          <w:i/>
          <w:szCs w:val="24"/>
        </w:rPr>
        <w:t>“</w:t>
      </w:r>
      <w:r w:rsidRPr="004202A6">
        <w:rPr>
          <w:rFonts w:eastAsia="Times New Roman" w:cstheme="minorHAnsi"/>
          <w:i/>
          <w:szCs w:val="24"/>
          <w:lang w:val="x-none"/>
        </w:rPr>
        <w:t>Art. 47 Para los efectos del inciso segundo del artículo 26 de la Ley, entiéndase por idóneo</w:t>
      </w:r>
      <w:r w:rsidRPr="004202A6">
        <w:rPr>
          <w:rFonts w:eastAsia="Times New Roman" w:cstheme="minorHAnsi"/>
          <w:i/>
          <w:szCs w:val="24"/>
        </w:rPr>
        <w:t xml:space="preserve"> </w:t>
      </w:r>
      <w:r w:rsidRPr="004202A6">
        <w:rPr>
          <w:rFonts w:eastAsia="Times New Roman" w:cstheme="minorHAnsi"/>
          <w:i/>
          <w:szCs w:val="24"/>
          <w:lang w:val="x-none"/>
        </w:rPr>
        <w:t>en la materia, aquellos profesionales graduados de Ingenieros Agrónomo y Agrónomos,</w:t>
      </w:r>
      <w:r w:rsidRPr="004202A6">
        <w:rPr>
          <w:rFonts w:eastAsia="Times New Roman" w:cstheme="minorHAnsi"/>
          <w:i/>
          <w:szCs w:val="24"/>
        </w:rPr>
        <w:t xml:space="preserve"> </w:t>
      </w:r>
      <w:r w:rsidRPr="004202A6">
        <w:rPr>
          <w:rFonts w:eastAsia="Times New Roman" w:cstheme="minorHAnsi"/>
          <w:i/>
          <w:szCs w:val="24"/>
          <w:lang w:val="x-none"/>
        </w:rPr>
        <w:t>quienes deberán registrarse en el departamento de defensa agropecuaria de acuerdo a los</w:t>
      </w:r>
      <w:r w:rsidRPr="004202A6">
        <w:rPr>
          <w:rFonts w:eastAsia="Times New Roman" w:cstheme="minorHAnsi"/>
          <w:i/>
          <w:szCs w:val="24"/>
        </w:rPr>
        <w:t xml:space="preserve"> </w:t>
      </w:r>
      <w:r w:rsidRPr="004202A6">
        <w:rPr>
          <w:rFonts w:eastAsia="Times New Roman" w:cstheme="minorHAnsi"/>
          <w:i/>
          <w:szCs w:val="24"/>
          <w:lang w:val="x-none"/>
        </w:rPr>
        <w:t>requisitos establecidos en los instructivos que se emitirán al efecto, y solamente podrán</w:t>
      </w:r>
      <w:r w:rsidRPr="004202A6">
        <w:rPr>
          <w:rFonts w:eastAsia="Times New Roman" w:cstheme="minorHAnsi"/>
          <w:i/>
          <w:szCs w:val="24"/>
        </w:rPr>
        <w:t xml:space="preserve"> </w:t>
      </w:r>
      <w:r w:rsidRPr="004202A6">
        <w:rPr>
          <w:rFonts w:eastAsia="Times New Roman" w:cstheme="minorHAnsi"/>
          <w:i/>
          <w:szCs w:val="24"/>
          <w:lang w:val="x-none"/>
        </w:rPr>
        <w:t>regentear tres agro servicios como máximo</w:t>
      </w:r>
      <w:r w:rsidRPr="004202A6">
        <w:rPr>
          <w:rFonts w:eastAsia="Times New Roman" w:cstheme="minorHAnsi"/>
          <w:i/>
          <w:szCs w:val="24"/>
        </w:rPr>
        <w:t>”</w:t>
      </w:r>
      <w:r w:rsidRPr="004202A6">
        <w:rPr>
          <w:rFonts w:eastAsia="Times New Roman" w:cstheme="minorHAnsi"/>
          <w:i/>
          <w:szCs w:val="24"/>
          <w:lang w:val="x-none"/>
        </w:rPr>
        <w:t>.</w:t>
      </w:r>
    </w:p>
    <w:p w:rsidR="004202A6" w:rsidRP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</w:p>
    <w:p w:rsid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</w:p>
    <w:p w:rsid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</w:p>
    <w:p w:rsid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  <w:bookmarkStart w:id="0" w:name="_GoBack"/>
      <w:bookmarkEnd w:id="0"/>
    </w:p>
    <w:p w:rsid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4202A6">
        <w:rPr>
          <w:rFonts w:eastAsia="Times New Roman" w:cstheme="minorHAnsi"/>
          <w:szCs w:val="24"/>
          <w:lang w:val="x-none"/>
        </w:rPr>
        <w:t xml:space="preserve">Referente a la consulta sobre </w:t>
      </w:r>
      <w:r w:rsidRPr="001F08C8">
        <w:rPr>
          <w:rFonts w:eastAsia="Times New Roman" w:cstheme="minorHAnsi"/>
          <w:b/>
          <w:i/>
          <w:szCs w:val="24"/>
          <w:lang w:val="x-none"/>
        </w:rPr>
        <w:t>los pasos para optar a una regencia</w:t>
      </w:r>
      <w:r w:rsidRPr="004202A6">
        <w:rPr>
          <w:rFonts w:eastAsia="Times New Roman" w:cstheme="minorHAnsi"/>
          <w:szCs w:val="24"/>
          <w:lang w:val="x-none"/>
        </w:rPr>
        <w:t>:</w:t>
      </w:r>
      <w:r w:rsidR="001F08C8">
        <w:rPr>
          <w:rFonts w:eastAsia="Times New Roman" w:cstheme="minorHAnsi"/>
          <w:szCs w:val="24"/>
        </w:rPr>
        <w:t xml:space="preserve"> s</w:t>
      </w:r>
      <w:proofErr w:type="spellStart"/>
      <w:r w:rsidR="001F08C8" w:rsidRPr="004202A6">
        <w:rPr>
          <w:rFonts w:eastAsia="Times New Roman" w:cstheme="minorHAnsi"/>
          <w:szCs w:val="24"/>
          <w:lang w:val="x-none"/>
        </w:rPr>
        <w:t>e</w:t>
      </w:r>
      <w:proofErr w:type="spellEnd"/>
      <w:r w:rsidRPr="004202A6">
        <w:rPr>
          <w:rFonts w:eastAsia="Times New Roman" w:cstheme="minorHAnsi"/>
          <w:szCs w:val="24"/>
          <w:lang w:val="x-none"/>
        </w:rPr>
        <w:t xml:space="preserve"> aclara que esta autorización </w:t>
      </w:r>
      <w:r w:rsidR="001F08C8">
        <w:rPr>
          <w:rFonts w:eastAsia="Times New Roman" w:cstheme="minorHAnsi"/>
          <w:szCs w:val="24"/>
        </w:rPr>
        <w:t xml:space="preserve">se encuentra </w:t>
      </w:r>
      <w:r w:rsidRPr="004202A6">
        <w:rPr>
          <w:rFonts w:eastAsia="Times New Roman" w:cstheme="minorHAnsi"/>
          <w:szCs w:val="24"/>
          <w:lang w:val="x-none"/>
        </w:rPr>
        <w:t>implícita en los trámites para la inscripción o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renovación de establecimientos agropecuarios, es decir las regencias se otorgan vinculadas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a las operaciones comerciales de alguna empresa.</w:t>
      </w:r>
    </w:p>
    <w:p w:rsidR="004202A6" w:rsidRP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</w:p>
    <w:p w:rsidR="004202A6" w:rsidRPr="001F08C8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  <w:r w:rsidRPr="004202A6">
        <w:rPr>
          <w:rFonts w:eastAsia="Times New Roman" w:cstheme="minorHAnsi"/>
          <w:szCs w:val="24"/>
          <w:lang w:val="x-none"/>
        </w:rPr>
        <w:t>Existen diferentes formatos a presentar los cuales de</w:t>
      </w:r>
      <w:r w:rsidR="001F08C8">
        <w:rPr>
          <w:rFonts w:eastAsia="Times New Roman" w:cstheme="minorHAnsi"/>
          <w:szCs w:val="24"/>
        </w:rPr>
        <w:t xml:space="preserve">scriben </w:t>
      </w:r>
      <w:r w:rsidRPr="004202A6">
        <w:rPr>
          <w:rFonts w:eastAsia="Times New Roman" w:cstheme="minorHAnsi"/>
          <w:szCs w:val="24"/>
          <w:lang w:val="x-none"/>
        </w:rPr>
        <w:t>los documentos que se requieren</w:t>
      </w:r>
      <w:r w:rsidRPr="004202A6">
        <w:rPr>
          <w:rFonts w:eastAsia="Times New Roman" w:cstheme="minorHAnsi"/>
          <w:szCs w:val="24"/>
        </w:rPr>
        <w:t xml:space="preserve"> </w:t>
      </w:r>
      <w:r w:rsidRPr="004202A6">
        <w:rPr>
          <w:rFonts w:eastAsia="Times New Roman" w:cstheme="minorHAnsi"/>
          <w:szCs w:val="24"/>
          <w:lang w:val="x-none"/>
        </w:rPr>
        <w:t>para clasificar como regente</w:t>
      </w:r>
      <w:r w:rsidR="001F08C8">
        <w:rPr>
          <w:rFonts w:eastAsia="Times New Roman" w:cstheme="minorHAnsi"/>
          <w:szCs w:val="24"/>
        </w:rPr>
        <w:t>:</w:t>
      </w:r>
    </w:p>
    <w:p w:rsidR="004202A6" w:rsidRPr="004202A6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Cs w:val="24"/>
        </w:rPr>
      </w:pPr>
    </w:p>
    <w:p w:rsidR="004202A6" w:rsidRPr="001F08C8" w:rsidRDefault="001F08C8" w:rsidP="001F08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</w:rPr>
      </w:pPr>
      <w:r w:rsidRPr="001F08C8">
        <w:rPr>
          <w:rFonts w:asciiTheme="minorHAnsi" w:hAnsiTheme="minorHAnsi" w:cstheme="minorHAnsi"/>
          <w:sz w:val="22"/>
        </w:rPr>
        <w:t>U</w:t>
      </w:r>
      <w:r w:rsidR="004202A6" w:rsidRPr="001F08C8">
        <w:rPr>
          <w:rFonts w:asciiTheme="minorHAnsi" w:hAnsiTheme="minorHAnsi" w:cstheme="minorHAnsi"/>
          <w:sz w:val="22"/>
          <w:lang w:val="x-none"/>
        </w:rPr>
        <w:t>n formato donde se detalla la información</w:t>
      </w:r>
      <w:r w:rsidRPr="001F08C8">
        <w:rPr>
          <w:rFonts w:asciiTheme="minorHAnsi" w:hAnsiTheme="minorHAnsi" w:cstheme="minorHAnsi"/>
          <w:sz w:val="22"/>
        </w:rPr>
        <w:t>,</w:t>
      </w:r>
      <w:r w:rsidR="004202A6" w:rsidRPr="001F08C8">
        <w:rPr>
          <w:rFonts w:asciiTheme="minorHAnsi" w:hAnsiTheme="minorHAnsi" w:cstheme="minorHAnsi"/>
          <w:sz w:val="22"/>
          <w:lang w:val="x-none"/>
        </w:rPr>
        <w:t xml:space="preserve"> cuando el propietario del establecimiento a</w:t>
      </w:r>
      <w:r w:rsidR="004202A6" w:rsidRPr="001F08C8">
        <w:rPr>
          <w:rFonts w:asciiTheme="minorHAnsi" w:hAnsiTheme="minorHAnsi" w:cstheme="minorHAnsi"/>
          <w:sz w:val="22"/>
        </w:rPr>
        <w:t xml:space="preserve"> </w:t>
      </w:r>
      <w:r w:rsidR="004202A6" w:rsidRPr="001F08C8">
        <w:rPr>
          <w:rFonts w:asciiTheme="minorHAnsi" w:hAnsiTheme="minorHAnsi" w:cstheme="minorHAnsi"/>
          <w:sz w:val="22"/>
          <w:lang w:val="x-none"/>
        </w:rPr>
        <w:t>inscribir no tiene una profesión relacionada con el rubro agrícola, para est</w:t>
      </w:r>
      <w:r w:rsidRPr="001F08C8">
        <w:rPr>
          <w:rFonts w:asciiTheme="minorHAnsi" w:hAnsiTheme="minorHAnsi" w:cstheme="minorHAnsi"/>
          <w:sz w:val="22"/>
        </w:rPr>
        <w:t>e</w:t>
      </w:r>
      <w:r w:rsidR="004202A6" w:rsidRPr="001F08C8">
        <w:rPr>
          <w:rFonts w:asciiTheme="minorHAnsi" w:hAnsiTheme="minorHAnsi" w:cstheme="minorHAnsi"/>
          <w:sz w:val="22"/>
          <w:lang w:val="x-none"/>
        </w:rPr>
        <w:t xml:space="preserve"> caso se requiere</w:t>
      </w:r>
      <w:r w:rsidR="004202A6" w:rsidRPr="001F08C8">
        <w:rPr>
          <w:rFonts w:asciiTheme="minorHAnsi" w:hAnsiTheme="minorHAnsi" w:cstheme="minorHAnsi"/>
          <w:sz w:val="22"/>
        </w:rPr>
        <w:t xml:space="preserve"> </w:t>
      </w:r>
      <w:r w:rsidR="004202A6" w:rsidRPr="001F08C8">
        <w:rPr>
          <w:rFonts w:asciiTheme="minorHAnsi" w:hAnsiTheme="minorHAnsi" w:cstheme="minorHAnsi"/>
          <w:sz w:val="22"/>
          <w:lang w:val="x-none"/>
        </w:rPr>
        <w:t>que presente información de un profesional que clasifique para ejercer la actividad de</w:t>
      </w:r>
      <w:r w:rsidR="004202A6" w:rsidRPr="001F08C8">
        <w:rPr>
          <w:rFonts w:asciiTheme="minorHAnsi" w:hAnsiTheme="minorHAnsi" w:cstheme="minorHAnsi"/>
          <w:sz w:val="22"/>
        </w:rPr>
        <w:t xml:space="preserve"> </w:t>
      </w:r>
      <w:r w:rsidRPr="001F08C8">
        <w:rPr>
          <w:rFonts w:asciiTheme="minorHAnsi" w:hAnsiTheme="minorHAnsi" w:cstheme="minorHAnsi"/>
          <w:sz w:val="22"/>
          <w:lang w:val="x-none"/>
        </w:rPr>
        <w:t>regente</w:t>
      </w:r>
      <w:r w:rsidRPr="001F08C8">
        <w:rPr>
          <w:rFonts w:asciiTheme="minorHAnsi" w:hAnsiTheme="minorHAnsi" w:cstheme="minorHAnsi"/>
          <w:sz w:val="22"/>
        </w:rPr>
        <w:t xml:space="preserve"> (se adjunta formato); </w:t>
      </w:r>
      <w:r w:rsidR="004202A6" w:rsidRPr="001F08C8">
        <w:rPr>
          <w:rFonts w:asciiTheme="minorHAnsi" w:hAnsiTheme="minorHAnsi" w:cstheme="minorHAnsi"/>
          <w:sz w:val="22"/>
          <w:lang w:val="x-none"/>
        </w:rPr>
        <w:t xml:space="preserve">y además debe presentar un </w:t>
      </w:r>
      <w:r w:rsidR="004202A6" w:rsidRPr="001F08C8">
        <w:rPr>
          <w:rFonts w:asciiTheme="minorHAnsi" w:hAnsiTheme="minorHAnsi" w:cstheme="minorHAnsi"/>
          <w:i/>
          <w:sz w:val="22"/>
          <w:lang w:val="x-none"/>
        </w:rPr>
        <w:t>contrato de servicios profesionales entre el propietario</w:t>
      </w:r>
      <w:r w:rsidR="004202A6" w:rsidRPr="001F08C8">
        <w:rPr>
          <w:rFonts w:asciiTheme="minorHAnsi" w:hAnsiTheme="minorHAnsi" w:cstheme="minorHAnsi"/>
          <w:i/>
          <w:sz w:val="22"/>
        </w:rPr>
        <w:t xml:space="preserve"> </w:t>
      </w:r>
      <w:r w:rsidR="004202A6" w:rsidRPr="001F08C8">
        <w:rPr>
          <w:rFonts w:asciiTheme="minorHAnsi" w:hAnsiTheme="minorHAnsi" w:cstheme="minorHAnsi"/>
          <w:i/>
          <w:sz w:val="22"/>
          <w:lang w:val="x-none"/>
        </w:rPr>
        <w:t>y el regente</w:t>
      </w:r>
      <w:r w:rsidRPr="001F08C8">
        <w:rPr>
          <w:rFonts w:asciiTheme="minorHAnsi" w:hAnsiTheme="minorHAnsi" w:cstheme="minorHAnsi"/>
          <w:sz w:val="22"/>
        </w:rPr>
        <w:t>, (se anexa un formato guía para tales efectos).</w:t>
      </w:r>
    </w:p>
    <w:p w:rsidR="004202A6" w:rsidRPr="001F08C8" w:rsidRDefault="004202A6" w:rsidP="004202A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4"/>
        </w:rPr>
      </w:pPr>
    </w:p>
    <w:p w:rsidR="004202A6" w:rsidRPr="001F08C8" w:rsidRDefault="001F08C8" w:rsidP="001F08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2"/>
        </w:rPr>
      </w:pPr>
      <w:r w:rsidRPr="001F08C8">
        <w:rPr>
          <w:rFonts w:asciiTheme="minorHAnsi" w:hAnsiTheme="minorHAnsi" w:cstheme="minorHAnsi"/>
          <w:sz w:val="22"/>
        </w:rPr>
        <w:t xml:space="preserve">En el caso </w:t>
      </w:r>
      <w:r w:rsidR="004202A6" w:rsidRPr="001F08C8">
        <w:rPr>
          <w:rFonts w:asciiTheme="minorHAnsi" w:hAnsiTheme="minorHAnsi" w:cstheme="minorHAnsi"/>
          <w:sz w:val="22"/>
          <w:lang w:val="x-none"/>
        </w:rPr>
        <w:t>que el propietario del establecimiento a inscribir o renovar</w:t>
      </w:r>
      <w:r>
        <w:rPr>
          <w:rFonts w:asciiTheme="minorHAnsi" w:hAnsiTheme="minorHAnsi" w:cstheme="minorHAnsi"/>
          <w:sz w:val="22"/>
        </w:rPr>
        <w:t>,</w:t>
      </w:r>
      <w:r w:rsidR="004202A6" w:rsidRPr="001F08C8">
        <w:rPr>
          <w:rFonts w:asciiTheme="minorHAnsi" w:hAnsiTheme="minorHAnsi" w:cstheme="minorHAnsi"/>
          <w:sz w:val="22"/>
          <w:lang w:val="x-none"/>
        </w:rPr>
        <w:t xml:space="preserve"> sea un profesional</w:t>
      </w:r>
      <w:r w:rsidR="004202A6" w:rsidRPr="001F08C8">
        <w:rPr>
          <w:rFonts w:asciiTheme="minorHAnsi" w:hAnsiTheme="minorHAnsi" w:cstheme="minorHAnsi"/>
          <w:sz w:val="22"/>
        </w:rPr>
        <w:t xml:space="preserve"> </w:t>
      </w:r>
      <w:r w:rsidR="004202A6" w:rsidRPr="001F08C8">
        <w:rPr>
          <w:rFonts w:asciiTheme="minorHAnsi" w:hAnsiTheme="minorHAnsi" w:cstheme="minorHAnsi"/>
          <w:sz w:val="22"/>
          <w:lang w:val="x-none"/>
        </w:rPr>
        <w:t>relaci</w:t>
      </w:r>
      <w:r w:rsidRPr="001F08C8">
        <w:rPr>
          <w:rFonts w:asciiTheme="minorHAnsi" w:hAnsiTheme="minorHAnsi" w:cstheme="minorHAnsi"/>
          <w:sz w:val="22"/>
          <w:lang w:val="x-none"/>
        </w:rPr>
        <w:t>onado con el rubro agrícola</w:t>
      </w:r>
      <w:r>
        <w:rPr>
          <w:rFonts w:asciiTheme="minorHAnsi" w:hAnsiTheme="minorHAnsi" w:cstheme="minorHAnsi"/>
          <w:sz w:val="22"/>
        </w:rPr>
        <w:t>,</w:t>
      </w:r>
      <w:r w:rsidRPr="001F08C8">
        <w:rPr>
          <w:rFonts w:asciiTheme="minorHAnsi" w:hAnsiTheme="minorHAnsi" w:cstheme="minorHAnsi"/>
          <w:sz w:val="22"/>
          <w:lang w:val="x-none"/>
        </w:rPr>
        <w:t xml:space="preserve"> sol</w:t>
      </w:r>
      <w:r w:rsidRPr="001F08C8">
        <w:rPr>
          <w:rFonts w:asciiTheme="minorHAnsi" w:hAnsiTheme="minorHAnsi" w:cstheme="minorHAnsi"/>
          <w:sz w:val="22"/>
        </w:rPr>
        <w:t>amente se</w:t>
      </w:r>
      <w:r w:rsidR="004202A6" w:rsidRPr="001F08C8">
        <w:rPr>
          <w:rFonts w:asciiTheme="minorHAnsi" w:hAnsiTheme="minorHAnsi" w:cstheme="minorHAnsi"/>
          <w:sz w:val="22"/>
          <w:lang w:val="x-none"/>
        </w:rPr>
        <w:t xml:space="preserve"> requiere presentar una solicitud sin información</w:t>
      </w:r>
      <w:r w:rsidR="004202A6" w:rsidRPr="001F08C8">
        <w:rPr>
          <w:rFonts w:asciiTheme="minorHAnsi" w:hAnsiTheme="minorHAnsi" w:cstheme="minorHAnsi"/>
          <w:sz w:val="22"/>
        </w:rPr>
        <w:t xml:space="preserve"> </w:t>
      </w:r>
      <w:r w:rsidR="004202A6" w:rsidRPr="001F08C8">
        <w:rPr>
          <w:rFonts w:asciiTheme="minorHAnsi" w:hAnsiTheme="minorHAnsi" w:cstheme="minorHAnsi"/>
          <w:sz w:val="22"/>
          <w:lang w:val="x-none"/>
        </w:rPr>
        <w:t>de otro profesional ya que él puede ejercer las dos figuras tanto propietario como regente</w:t>
      </w:r>
      <w:r w:rsidRPr="001F08C8">
        <w:rPr>
          <w:rFonts w:asciiTheme="minorHAnsi" w:hAnsiTheme="minorHAnsi" w:cstheme="minorHAnsi"/>
          <w:sz w:val="22"/>
        </w:rPr>
        <w:t xml:space="preserve"> (se adjunta dicho</w:t>
      </w:r>
      <w:r w:rsidR="004202A6" w:rsidRPr="001F08C8">
        <w:rPr>
          <w:rFonts w:asciiTheme="minorHAnsi" w:hAnsiTheme="minorHAnsi" w:cstheme="minorHAnsi"/>
          <w:sz w:val="22"/>
          <w:lang w:val="x-none"/>
        </w:rPr>
        <w:t xml:space="preserve"> formato</w:t>
      </w:r>
      <w:r w:rsidRPr="001F08C8">
        <w:rPr>
          <w:rFonts w:asciiTheme="minorHAnsi" w:hAnsiTheme="minorHAnsi" w:cstheme="minorHAnsi"/>
          <w:sz w:val="22"/>
        </w:rPr>
        <w:t>)</w:t>
      </w:r>
      <w:r w:rsidR="004202A6" w:rsidRPr="001F08C8">
        <w:rPr>
          <w:rFonts w:asciiTheme="minorHAnsi" w:hAnsiTheme="minorHAnsi" w:cstheme="minorHAnsi"/>
          <w:sz w:val="22"/>
          <w:lang w:val="x-none"/>
        </w:rPr>
        <w:t>.</w:t>
      </w:r>
    </w:p>
    <w:p w:rsidR="000B71D5" w:rsidRPr="001F08C8" w:rsidRDefault="000B71D5" w:rsidP="00FC52D2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</w:p>
    <w:p w:rsidR="00FC52D2" w:rsidRPr="002A2DA6" w:rsidRDefault="00FC52D2" w:rsidP="00FC52D2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A2DA6">
        <w:rPr>
          <w:rFonts w:asciiTheme="minorHAnsi" w:hAnsiTheme="minorHAnsi" w:cstheme="minorHAnsi"/>
          <w:sz w:val="22"/>
          <w:szCs w:val="22"/>
        </w:rPr>
        <w:t>Notifíquese</w:t>
      </w: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8A33F7" w:rsidRDefault="008A33F7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1F08C8" w:rsidRPr="002A2DA6" w:rsidRDefault="001F08C8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cstheme="minorHAnsi"/>
          <w:b/>
          <w:color w:val="002060"/>
        </w:rPr>
      </w:pPr>
    </w:p>
    <w:p w:rsidR="00FC52D2" w:rsidRPr="002A2DA6" w:rsidRDefault="00FC52D2" w:rsidP="00FC52D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>Ana Patricia Sánchez de Cruz</w:t>
      </w:r>
    </w:p>
    <w:p w:rsidR="009865F0" w:rsidRPr="002A2DA6" w:rsidRDefault="00FC52D2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2A2DA6">
        <w:rPr>
          <w:rFonts w:cstheme="minorHAnsi"/>
          <w:b/>
          <w:color w:val="000099"/>
        </w:rPr>
        <w:t xml:space="preserve">Oficial de Información </w:t>
      </w:r>
      <w:r w:rsidR="00871CCE" w:rsidRPr="002A2DA6">
        <w:rPr>
          <w:rFonts w:cstheme="minorHAnsi"/>
          <w:b/>
          <w:color w:val="000099"/>
        </w:rPr>
        <w:t>O</w:t>
      </w:r>
      <w:r w:rsidRPr="002A2DA6">
        <w:rPr>
          <w:rFonts w:cstheme="minorHAnsi"/>
          <w:b/>
          <w:color w:val="000099"/>
        </w:rPr>
        <w:t>IR</w:t>
      </w:r>
      <w:r w:rsidR="00871CCE" w:rsidRPr="002A2DA6">
        <w:rPr>
          <w:rFonts w:cstheme="minorHAnsi"/>
          <w:b/>
          <w:color w:val="000099"/>
        </w:rPr>
        <w:t>-MAG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09" w:rsidRDefault="00FE7609" w:rsidP="00063E85">
      <w:pPr>
        <w:spacing w:after="0" w:line="240" w:lineRule="auto"/>
      </w:pPr>
      <w:r>
        <w:separator/>
      </w:r>
    </w:p>
  </w:endnote>
  <w:endnote w:type="continuationSeparator" w:id="0">
    <w:p w:rsidR="00FE7609" w:rsidRDefault="00FE7609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FE7609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D208D0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D208D0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09" w:rsidRDefault="00FE7609" w:rsidP="00063E85">
      <w:pPr>
        <w:spacing w:after="0" w:line="240" w:lineRule="auto"/>
      </w:pPr>
      <w:r>
        <w:separator/>
      </w:r>
    </w:p>
  </w:footnote>
  <w:footnote w:type="continuationSeparator" w:id="0">
    <w:p w:rsidR="00FE7609" w:rsidRDefault="00FE7609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FE760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FE760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839CD"/>
    <w:rsid w:val="00185287"/>
    <w:rsid w:val="001B5C60"/>
    <w:rsid w:val="001B6AAC"/>
    <w:rsid w:val="001D57DE"/>
    <w:rsid w:val="001F08C8"/>
    <w:rsid w:val="001F20CB"/>
    <w:rsid w:val="00207396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F3A94"/>
    <w:rsid w:val="004202A6"/>
    <w:rsid w:val="00425F26"/>
    <w:rsid w:val="00430147"/>
    <w:rsid w:val="00435B5A"/>
    <w:rsid w:val="00482AEE"/>
    <w:rsid w:val="004A1E52"/>
    <w:rsid w:val="004A31D8"/>
    <w:rsid w:val="004A3DA3"/>
    <w:rsid w:val="004A518E"/>
    <w:rsid w:val="004B671E"/>
    <w:rsid w:val="004C1437"/>
    <w:rsid w:val="004C4856"/>
    <w:rsid w:val="00523609"/>
    <w:rsid w:val="005B361B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52115"/>
    <w:rsid w:val="00AA7244"/>
    <w:rsid w:val="00BA373E"/>
    <w:rsid w:val="00BB6283"/>
    <w:rsid w:val="00C00F22"/>
    <w:rsid w:val="00C14091"/>
    <w:rsid w:val="00C4746C"/>
    <w:rsid w:val="00C51218"/>
    <w:rsid w:val="00CB1F7C"/>
    <w:rsid w:val="00D208D0"/>
    <w:rsid w:val="00D230F2"/>
    <w:rsid w:val="00D23D69"/>
    <w:rsid w:val="00D463A1"/>
    <w:rsid w:val="00D52D3A"/>
    <w:rsid w:val="00DA2422"/>
    <w:rsid w:val="00DC5379"/>
    <w:rsid w:val="00DD1DAE"/>
    <w:rsid w:val="00E43455"/>
    <w:rsid w:val="00E47F2A"/>
    <w:rsid w:val="00F04C46"/>
    <w:rsid w:val="00F12F33"/>
    <w:rsid w:val="00F40534"/>
    <w:rsid w:val="00F64508"/>
    <w:rsid w:val="00F708E3"/>
    <w:rsid w:val="00FC52D2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20B0-E13F-4293-B188-3CEA5F9F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10</cp:revision>
  <cp:lastPrinted>2019-01-17T17:49:00Z</cp:lastPrinted>
  <dcterms:created xsi:type="dcterms:W3CDTF">2018-11-01T02:45:00Z</dcterms:created>
  <dcterms:modified xsi:type="dcterms:W3CDTF">2019-01-17T20:00:00Z</dcterms:modified>
</cp:coreProperties>
</file>