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3A31CF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3A31CF" w:rsidRDefault="003A31CF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3A31CF" w:rsidRDefault="00FC52D2" w:rsidP="003A31CF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0C4F55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proofErr w:type="spellStart"/>
      <w:r w:rsidRPr="000C4F55">
        <w:rPr>
          <w:rFonts w:eastAsia="Arial Unicode MS" w:cstheme="minorHAnsi"/>
          <w:b/>
          <w:color w:val="000099"/>
          <w:sz w:val="24"/>
          <w:u w:val="single"/>
        </w:rPr>
        <w:t>MAG</w:t>
      </w:r>
      <w:proofErr w:type="spellEnd"/>
      <w:r w:rsidRPr="000C4F55">
        <w:rPr>
          <w:rFonts w:eastAsia="Arial Unicode MS" w:cstheme="minorHAnsi"/>
          <w:b/>
          <w:color w:val="000099"/>
          <w:sz w:val="24"/>
          <w:u w:val="single"/>
        </w:rPr>
        <w:t xml:space="preserve"> </w:t>
      </w:r>
      <w:proofErr w:type="spellStart"/>
      <w:r w:rsidRPr="000C4F55">
        <w:rPr>
          <w:rFonts w:eastAsia="Arial Unicode MS" w:cstheme="minorHAnsi"/>
          <w:b/>
          <w:color w:val="000099"/>
          <w:sz w:val="24"/>
          <w:u w:val="single"/>
        </w:rPr>
        <w:t>OIR</w:t>
      </w:r>
      <w:proofErr w:type="spellEnd"/>
      <w:r w:rsidRPr="000C4F55">
        <w:rPr>
          <w:rFonts w:eastAsia="Arial Unicode MS" w:cstheme="minorHAnsi"/>
          <w:b/>
          <w:color w:val="000099"/>
          <w:sz w:val="24"/>
          <w:u w:val="single"/>
        </w:rPr>
        <w:t xml:space="preserve"> N° </w:t>
      </w:r>
      <w:r w:rsidR="004A31D8" w:rsidRPr="000C4F55">
        <w:rPr>
          <w:rFonts w:eastAsia="Arial Unicode MS" w:cstheme="minorHAnsi"/>
          <w:b/>
          <w:color w:val="000099"/>
          <w:sz w:val="24"/>
          <w:u w:val="single"/>
        </w:rPr>
        <w:t>2</w:t>
      </w:r>
      <w:r w:rsidR="002A2DA6" w:rsidRPr="000C4F55">
        <w:rPr>
          <w:rFonts w:eastAsia="Arial Unicode MS" w:cstheme="minorHAnsi"/>
          <w:b/>
          <w:color w:val="000099"/>
          <w:sz w:val="24"/>
          <w:u w:val="single"/>
        </w:rPr>
        <w:t>6</w:t>
      </w:r>
      <w:r w:rsidR="008171E9" w:rsidRPr="000C4F55">
        <w:rPr>
          <w:rFonts w:eastAsia="Arial Unicode MS" w:cstheme="minorHAnsi"/>
          <w:b/>
          <w:color w:val="000099"/>
          <w:sz w:val="24"/>
          <w:u w:val="single"/>
        </w:rPr>
        <w:t>3</w:t>
      </w:r>
      <w:r w:rsidRPr="000C4F55"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8171E9" w:rsidRPr="008B55AF" w:rsidRDefault="008171E9" w:rsidP="003A31CF">
      <w:pPr>
        <w:tabs>
          <w:tab w:val="left" w:pos="5115"/>
        </w:tabs>
        <w:jc w:val="center"/>
        <w:rPr>
          <w:rFonts w:cs="Calibri"/>
          <w:b/>
        </w:rPr>
      </w:pPr>
      <w:r w:rsidRPr="008B55AF">
        <w:rPr>
          <w:rFonts w:cs="Calibri"/>
          <w:b/>
        </w:rPr>
        <w:t>EL MINISTERIO DE AGRICULTURA Y GANADERÍA HACE CONSTAR QUE:</w:t>
      </w:r>
    </w:p>
    <w:p w:rsidR="008171E9" w:rsidRDefault="008171E9" w:rsidP="008171E9">
      <w:pPr>
        <w:spacing w:after="0" w:line="240" w:lineRule="auto"/>
        <w:jc w:val="both"/>
        <w:rPr>
          <w:rFonts w:eastAsia="Arial Unicode MS" w:cs="Arial Unicode MS"/>
        </w:rPr>
      </w:pPr>
      <w:r w:rsidRPr="008B55AF">
        <w:rPr>
          <w:rFonts w:eastAsia="Arial Unicode MS" w:cs="Arial Unicode MS"/>
        </w:rPr>
        <w:t xml:space="preserve">Santa Tecla, departamento de La Libertad a las </w:t>
      </w:r>
      <w:r w:rsidRPr="008B55AF">
        <w:rPr>
          <w:rFonts w:eastAsia="Arial Unicode MS" w:cs="Arial Unicode MS"/>
          <w:color w:val="000099"/>
        </w:rPr>
        <w:t>c</w:t>
      </w:r>
      <w:r>
        <w:rPr>
          <w:rFonts w:eastAsia="Arial Unicode MS" w:cs="Arial Unicode MS"/>
          <w:color w:val="000099"/>
        </w:rPr>
        <w:t xml:space="preserve">atorce </w:t>
      </w:r>
      <w:r w:rsidRPr="008B55AF">
        <w:rPr>
          <w:rFonts w:eastAsia="Arial Unicode MS" w:cs="Arial Unicode MS"/>
          <w:color w:val="000099"/>
        </w:rPr>
        <w:t xml:space="preserve">horas con treinta minutos del día doce de </w:t>
      </w:r>
      <w:r>
        <w:rPr>
          <w:rFonts w:eastAsia="Arial Unicode MS" w:cs="Arial Unicode MS"/>
          <w:color w:val="000099"/>
        </w:rPr>
        <w:t>diciembre</w:t>
      </w:r>
      <w:r w:rsidRPr="008B55AF">
        <w:rPr>
          <w:rFonts w:eastAsia="Arial Unicode MS" w:cs="Arial Unicode MS"/>
          <w:color w:val="000099"/>
        </w:rPr>
        <w:t xml:space="preserve"> de 2018, </w:t>
      </w:r>
      <w:r w:rsidRPr="008B55AF">
        <w:rPr>
          <w:rFonts w:eastAsia="Arial Unicode MS" w:cs="Arial Unicode MS"/>
        </w:rPr>
        <w:t xml:space="preserve">el Ministerio de Agricultura y Ganadería luego de haber recibido y admitido la solicitud de información </w:t>
      </w:r>
      <w:r w:rsidRPr="008B55AF">
        <w:rPr>
          <w:rFonts w:eastAsia="Arial Unicode MS" w:cs="Arial Unicode MS"/>
          <w:b/>
          <w:color w:val="000099"/>
        </w:rPr>
        <w:t>Nº 2</w:t>
      </w:r>
      <w:r>
        <w:rPr>
          <w:rFonts w:eastAsia="Arial Unicode MS" w:cs="Arial Unicode MS"/>
          <w:b/>
          <w:color w:val="000099"/>
        </w:rPr>
        <w:t>63</w:t>
      </w:r>
      <w:r w:rsidRPr="008B55AF">
        <w:rPr>
          <w:rFonts w:eastAsia="Arial Unicode MS" w:cs="Arial Unicode MS"/>
          <w:b/>
          <w:color w:val="000099"/>
        </w:rPr>
        <w:t xml:space="preserve">-2018 </w:t>
      </w:r>
      <w:r w:rsidRPr="008B55AF">
        <w:rPr>
          <w:rFonts w:eastAsia="Arial Unicode MS" w:cs="Arial Unicode MS"/>
        </w:rPr>
        <w:t>sobre:</w:t>
      </w:r>
    </w:p>
    <w:p w:rsidR="00AB641E" w:rsidRDefault="00AB641E" w:rsidP="008171E9">
      <w:pPr>
        <w:spacing w:after="0" w:line="240" w:lineRule="auto"/>
        <w:jc w:val="both"/>
        <w:rPr>
          <w:rFonts w:eastAsia="Arial Unicode MS" w:cs="Arial Unicode MS"/>
        </w:rPr>
      </w:pPr>
    </w:p>
    <w:p w:rsidR="008171E9" w:rsidRPr="00AB641E" w:rsidRDefault="00AB641E" w:rsidP="00AB641E">
      <w:pPr>
        <w:spacing w:after="0" w:line="240" w:lineRule="auto"/>
        <w:jc w:val="both"/>
        <w:rPr>
          <w:rFonts w:eastAsia="Arial Unicode MS" w:cs="Arial Unicode MS"/>
          <w:color w:val="000099"/>
        </w:rPr>
      </w:pPr>
      <w:r w:rsidRPr="00AB641E">
        <w:rPr>
          <w:rFonts w:eastAsia="Arial Unicode MS" w:cs="Arial Unicode MS"/>
          <w:color w:val="000099"/>
        </w:rPr>
        <w:t>"Términos de referencia del Concurso del Estudio de Factibilidad Central de Abastos del año 2016"</w:t>
      </w:r>
    </w:p>
    <w:p w:rsidR="00AB641E" w:rsidRDefault="00AB641E" w:rsidP="00817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</w:rPr>
      </w:pPr>
    </w:p>
    <w:p w:rsidR="008171E9" w:rsidRPr="008B55AF" w:rsidRDefault="008171E9" w:rsidP="007322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8B55AF">
        <w:rPr>
          <w:rFonts w:eastAsia="Arial Unicode MS" w:cs="Arial Unicode MS"/>
        </w:rPr>
        <w:t>Presentada ante la Oficina de Información y Respuesta de esta dependencia por parte de</w:t>
      </w:r>
      <w:r w:rsidRPr="00AB641E">
        <w:rPr>
          <w:rFonts w:eastAsia="Arial Unicode MS" w:cs="Arial Unicode MS"/>
          <w:b/>
          <w:color w:val="000099"/>
        </w:rPr>
        <w:t xml:space="preserve">: </w:t>
      </w:r>
      <w:r w:rsidR="003A31CF">
        <w:rPr>
          <w:rFonts w:eastAsia="Arial Unicode MS" w:cs="Arial Unicode MS"/>
          <w:b/>
          <w:color w:val="000099"/>
        </w:rPr>
        <w:t>---</w:t>
      </w:r>
      <w:bookmarkStart w:id="0" w:name="_GoBack"/>
      <w:bookmarkEnd w:id="0"/>
      <w:r w:rsidRPr="008B55AF">
        <w:rPr>
          <w:rFonts w:eastAsia="Arial Unicode MS" w:cs="Arial Unicode MS"/>
        </w:rPr>
        <w:t xml:space="preserve">, después de haber analizado el fondo de lo solicitado y haber revisado el marco jurídico institucional  ha identificado con base a lo establecido en los arts. 65, 68 inc. </w:t>
      </w:r>
      <w:proofErr w:type="spellStart"/>
      <w:r w:rsidRPr="008B55AF">
        <w:rPr>
          <w:rFonts w:eastAsia="Arial Unicode MS" w:cs="Arial Unicode MS"/>
        </w:rPr>
        <w:t>2o</w:t>
      </w:r>
      <w:proofErr w:type="spellEnd"/>
      <w:r w:rsidRPr="008B55AF">
        <w:rPr>
          <w:rFonts w:eastAsia="Arial Unicode MS" w:cs="Arial Unicode MS"/>
        </w:rPr>
        <w:t>. y 72 de la Ley de Acceso a la Información Pública y el art. 49 del Reglamento de dicha Ley que la información solicitada no es competencia de esta dependencia</w:t>
      </w:r>
      <w:r w:rsidR="000C4F55">
        <w:rPr>
          <w:rFonts w:eastAsia="Arial Unicode MS" w:cs="Arial Unicode MS"/>
        </w:rPr>
        <w:t xml:space="preserve"> porque</w:t>
      </w:r>
      <w:r w:rsidR="00732237">
        <w:rPr>
          <w:rFonts w:eastAsia="Arial Unicode MS" w:cs="Arial Unicode MS"/>
        </w:rPr>
        <w:t xml:space="preserve"> la Oficina de Políticas y Planificación Sectorial-</w:t>
      </w:r>
      <w:proofErr w:type="spellStart"/>
      <w:r w:rsidR="00732237">
        <w:rPr>
          <w:rFonts w:eastAsia="Arial Unicode MS" w:cs="Arial Unicode MS"/>
        </w:rPr>
        <w:t>OPPS</w:t>
      </w:r>
      <w:proofErr w:type="spellEnd"/>
      <w:r w:rsidR="00732237">
        <w:rPr>
          <w:rFonts w:eastAsia="Arial Unicode MS" w:cs="Arial Unicode MS"/>
        </w:rPr>
        <w:t xml:space="preserve"> de este ministerio, a quien se</w:t>
      </w:r>
      <w:r w:rsidR="000C4F55">
        <w:rPr>
          <w:rFonts w:eastAsia="Arial Unicode MS" w:cs="Arial Unicode MS"/>
        </w:rPr>
        <w:t xml:space="preserve"> requirió</w:t>
      </w:r>
      <w:r w:rsidR="00732237">
        <w:rPr>
          <w:rFonts w:eastAsia="Arial Unicode MS" w:cs="Arial Unicode MS"/>
        </w:rPr>
        <w:t xml:space="preserve"> la información, manifiesta </w:t>
      </w:r>
      <w:r w:rsidR="00732237" w:rsidRPr="00732237">
        <w:rPr>
          <w:rFonts w:eastAsia="Arial Unicode MS" w:cs="Arial Unicode MS"/>
        </w:rPr>
        <w:t>que el estudio en referencia fue realizado con el apoyo</w:t>
      </w:r>
      <w:r w:rsidR="00732237">
        <w:rPr>
          <w:rFonts w:eastAsia="Arial Unicode MS" w:cs="Arial Unicode MS"/>
        </w:rPr>
        <w:t xml:space="preserve"> </w:t>
      </w:r>
      <w:r w:rsidR="00732237" w:rsidRPr="00732237">
        <w:rPr>
          <w:rFonts w:eastAsia="Arial Unicode MS" w:cs="Arial Unicode MS"/>
        </w:rPr>
        <w:t>administrativo y financiero del Fondo Salvadoreño de Estudios de Preinversión (FOSEP),</w:t>
      </w:r>
      <w:r w:rsidR="00732237">
        <w:rPr>
          <w:rFonts w:eastAsia="Arial Unicode MS" w:cs="Arial Unicode MS"/>
        </w:rPr>
        <w:t xml:space="preserve"> </w:t>
      </w:r>
      <w:r w:rsidR="00732237" w:rsidRPr="00732237">
        <w:rPr>
          <w:rFonts w:eastAsia="Arial Unicode MS" w:cs="Arial Unicode MS"/>
        </w:rPr>
        <w:t>siendo esa institución la que administró todo el proceso de concurso público, contratación,</w:t>
      </w:r>
      <w:r w:rsidR="00732237">
        <w:rPr>
          <w:rFonts w:eastAsia="Arial Unicode MS" w:cs="Arial Unicode MS"/>
        </w:rPr>
        <w:t xml:space="preserve"> </w:t>
      </w:r>
      <w:r w:rsidR="00732237" w:rsidRPr="00732237">
        <w:rPr>
          <w:rFonts w:eastAsia="Arial Unicode MS" w:cs="Arial Unicode MS"/>
        </w:rPr>
        <w:t>ejecución y liquidación del Contrato CC-03/2017</w:t>
      </w:r>
      <w:r w:rsidR="00732237">
        <w:rPr>
          <w:rFonts w:eastAsia="Arial Unicode MS" w:cs="Arial Unicode MS"/>
        </w:rPr>
        <w:t>,</w:t>
      </w:r>
      <w:r w:rsidR="00732237" w:rsidRPr="00732237">
        <w:rPr>
          <w:rFonts w:eastAsia="Arial Unicode MS" w:cs="Arial Unicode MS"/>
        </w:rPr>
        <w:t xml:space="preserve"> que resultó por</w:t>
      </w:r>
      <w:r w:rsidR="00732237">
        <w:rPr>
          <w:rFonts w:ascii="Times-Roman" w:eastAsia="Times New Roman" w:hAnsi="Times-Roman" w:cs="Times-Roman"/>
          <w:color w:val="000000"/>
          <w:szCs w:val="24"/>
          <w:lang w:val="x-none"/>
        </w:rPr>
        <w:t xml:space="preserve"> </w:t>
      </w:r>
      <w:r w:rsidR="00732237" w:rsidRPr="00732237">
        <w:rPr>
          <w:rFonts w:eastAsia="Arial Unicode MS" w:cs="Arial Unicode MS"/>
        </w:rPr>
        <w:t>el estudio en cuestión</w:t>
      </w:r>
      <w:r w:rsidRPr="008B55AF">
        <w:rPr>
          <w:rFonts w:eastAsia="Arial Unicode MS" w:cs="Arial Unicode MS"/>
        </w:rPr>
        <w:t xml:space="preserve">. Por </w:t>
      </w:r>
      <w:r w:rsidR="000C4F55">
        <w:rPr>
          <w:rFonts w:eastAsia="Arial Unicode MS" w:cs="Arial Unicode MS"/>
        </w:rPr>
        <w:t xml:space="preserve">lo anteriormente expuesto, </w:t>
      </w:r>
      <w:r w:rsidRPr="008B55AF">
        <w:rPr>
          <w:rFonts w:eastAsia="Arial Unicode MS" w:cs="Arial Unicode MS"/>
        </w:rPr>
        <w:t xml:space="preserve">la </w:t>
      </w:r>
      <w:r w:rsidR="000C4F55">
        <w:rPr>
          <w:rFonts w:eastAsia="Arial Unicode MS" w:cs="Arial Unicode MS"/>
        </w:rPr>
        <w:t>suscrita oficial de información r</w:t>
      </w:r>
      <w:r w:rsidRPr="008B55AF">
        <w:rPr>
          <w:rFonts w:eastAsia="Arial Unicode MS" w:cs="Arial Unicode MS"/>
        </w:rPr>
        <w:t>esuelve:</w:t>
      </w:r>
    </w:p>
    <w:p w:rsidR="008171E9" w:rsidRPr="008B55AF" w:rsidRDefault="008171E9" w:rsidP="00817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</w:rPr>
      </w:pPr>
    </w:p>
    <w:p w:rsidR="008171E9" w:rsidRDefault="008171E9" w:rsidP="008171E9">
      <w:pPr>
        <w:spacing w:after="0" w:line="240" w:lineRule="auto"/>
        <w:jc w:val="center"/>
        <w:rPr>
          <w:rFonts w:cs="Calibri"/>
          <w:b/>
          <w:color w:val="000099"/>
        </w:rPr>
      </w:pPr>
      <w:r w:rsidRPr="008B55AF">
        <w:rPr>
          <w:rFonts w:cs="Calibri"/>
          <w:b/>
          <w:color w:val="000099"/>
        </w:rPr>
        <w:t>NO ENTREGAR LA INFORMACIÓN SOLICITADA POR NO SER ESTA INSTITUCIÓN COMPETENTE PARA CONOCER DE LA MISMA</w:t>
      </w:r>
    </w:p>
    <w:p w:rsidR="00AB641E" w:rsidRPr="008B55AF" w:rsidRDefault="00AB641E" w:rsidP="008171E9">
      <w:pPr>
        <w:spacing w:after="0" w:line="240" w:lineRule="auto"/>
        <w:jc w:val="center"/>
        <w:rPr>
          <w:rFonts w:cs="Calibri"/>
          <w:b/>
          <w:color w:val="000099"/>
        </w:rPr>
      </w:pPr>
    </w:p>
    <w:p w:rsidR="00260974" w:rsidRDefault="008171E9" w:rsidP="00817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</w:rPr>
      </w:pPr>
      <w:r w:rsidRPr="008B55AF">
        <w:rPr>
          <w:rFonts w:eastAsia="Arial Unicode MS" w:cs="Arial Unicode MS"/>
        </w:rPr>
        <w:t xml:space="preserve">Por lo que se recomienda consultar a la siguiente dependencia del Estado: </w:t>
      </w:r>
    </w:p>
    <w:p w:rsidR="00260974" w:rsidRDefault="00260974" w:rsidP="00817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</w:rPr>
      </w:pPr>
    </w:p>
    <w:p w:rsidR="00260974" w:rsidRDefault="00260974" w:rsidP="002609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lang w:val="es-SV"/>
        </w:rPr>
      </w:pPr>
      <w:r w:rsidRPr="00732237">
        <w:rPr>
          <w:rFonts w:eastAsia="Arial Unicode MS" w:cs="Arial Unicode MS"/>
          <w:b/>
        </w:rPr>
        <w:t>Fondo Salvadoreño para Estudios de Preinversión</w:t>
      </w:r>
      <w:r w:rsidR="00732237" w:rsidRPr="00732237">
        <w:rPr>
          <w:rFonts w:eastAsia="Arial Unicode MS" w:cs="Arial Unicode MS"/>
          <w:b/>
        </w:rPr>
        <w:t xml:space="preserve"> </w:t>
      </w:r>
      <w:r w:rsidRPr="00732237">
        <w:rPr>
          <w:rFonts w:eastAsia="Arial Unicode MS" w:cs="Arial Unicode MS"/>
          <w:b/>
        </w:rPr>
        <w:t>-</w:t>
      </w:r>
      <w:r w:rsidR="00732237" w:rsidRPr="00732237">
        <w:rPr>
          <w:rFonts w:eastAsia="Arial Unicode MS" w:cs="Arial Unicode MS"/>
          <w:b/>
        </w:rPr>
        <w:t xml:space="preserve"> </w:t>
      </w:r>
      <w:r w:rsidRPr="00732237">
        <w:rPr>
          <w:rFonts w:eastAsia="Arial Unicode MS" w:cs="Arial Unicode MS"/>
          <w:b/>
        </w:rPr>
        <w:t>FOSEP</w:t>
      </w:r>
      <w:r>
        <w:rPr>
          <w:rFonts w:eastAsia="Arial Unicode MS" w:cs="Arial Unicode MS"/>
        </w:rPr>
        <w:t xml:space="preserve">, ubicado en </w:t>
      </w:r>
      <w:r w:rsidR="00732237" w:rsidRPr="00260974">
        <w:rPr>
          <w:rFonts w:eastAsia="Arial Unicode MS" w:cs="Arial Unicode MS"/>
          <w:lang w:val="es-SV"/>
        </w:rPr>
        <w:t>boulevard</w:t>
      </w:r>
      <w:r w:rsidRPr="00260974">
        <w:rPr>
          <w:rFonts w:eastAsia="Arial Unicode MS" w:cs="Arial Unicode MS"/>
          <w:lang w:val="es-SV"/>
        </w:rPr>
        <w:t xml:space="preserve"> del Hipódromo N</w:t>
      </w:r>
      <w:r>
        <w:rPr>
          <w:rFonts w:eastAsia="Arial Unicode MS" w:cs="Arial Unicode MS"/>
          <w:lang w:val="es-SV"/>
        </w:rPr>
        <w:t>°</w:t>
      </w:r>
      <w:r w:rsidRPr="00260974">
        <w:rPr>
          <w:rFonts w:eastAsia="Arial Unicode MS" w:cs="Arial Unicode MS"/>
          <w:lang w:val="es-SV"/>
        </w:rPr>
        <w:t xml:space="preserve"> 544, col. San Benito</w:t>
      </w:r>
      <w:r w:rsidR="00732237">
        <w:rPr>
          <w:rFonts w:eastAsia="Arial Unicode MS" w:cs="Arial Unicode MS"/>
          <w:lang w:val="es-SV"/>
        </w:rPr>
        <w:t>,</w:t>
      </w:r>
      <w:r w:rsidRPr="00260974">
        <w:rPr>
          <w:rFonts w:eastAsia="Arial Unicode MS" w:cs="Arial Unicode MS"/>
          <w:lang w:val="es-SV"/>
        </w:rPr>
        <w:t xml:space="preserve"> San Salvador</w:t>
      </w:r>
      <w:r>
        <w:rPr>
          <w:rFonts w:eastAsia="Arial Unicode MS" w:cs="Arial Unicode MS"/>
          <w:lang w:val="es-SV"/>
        </w:rPr>
        <w:t>, t</w:t>
      </w:r>
      <w:r w:rsidRPr="00260974">
        <w:rPr>
          <w:rFonts w:eastAsia="Arial Unicode MS" w:cs="Arial Unicode MS"/>
          <w:lang w:val="es-SV"/>
        </w:rPr>
        <w:t>eléfono</w:t>
      </w:r>
      <w:r w:rsidR="00732237">
        <w:rPr>
          <w:rFonts w:eastAsia="Arial Unicode MS" w:cs="Arial Unicode MS"/>
          <w:lang w:val="es-SV"/>
        </w:rPr>
        <w:t>:</w:t>
      </w:r>
      <w:r w:rsidRPr="00260974">
        <w:rPr>
          <w:rFonts w:eastAsia="Arial Unicode MS" w:cs="Arial Unicode MS"/>
          <w:lang w:val="es-SV"/>
        </w:rPr>
        <w:t> 2263-8099 Oficial de información</w:t>
      </w:r>
      <w:r w:rsidR="00732237">
        <w:rPr>
          <w:rFonts w:eastAsia="Arial Unicode MS" w:cs="Arial Unicode MS"/>
          <w:lang w:val="es-SV"/>
        </w:rPr>
        <w:t xml:space="preserve">, </w:t>
      </w:r>
      <w:r w:rsidR="00732237" w:rsidRPr="00260974">
        <w:rPr>
          <w:rFonts w:eastAsia="Arial Unicode MS" w:cs="Arial Unicode MS"/>
          <w:lang w:val="es-SV"/>
        </w:rPr>
        <w:t>José</w:t>
      </w:r>
      <w:r w:rsidRPr="00260974">
        <w:rPr>
          <w:rFonts w:eastAsia="Arial Unicode MS" w:cs="Arial Unicode MS"/>
          <w:lang w:val="es-SV"/>
        </w:rPr>
        <w:t xml:space="preserve"> Orlando Guillen </w:t>
      </w:r>
      <w:r w:rsidR="00732237" w:rsidRPr="00260974">
        <w:rPr>
          <w:rFonts w:eastAsia="Arial Unicode MS" w:cs="Arial Unicode MS"/>
          <w:lang w:val="es-SV"/>
        </w:rPr>
        <w:t>Marroquín</w:t>
      </w:r>
      <w:r w:rsidR="00732237">
        <w:rPr>
          <w:rFonts w:eastAsia="Arial Unicode MS" w:cs="Arial Unicode MS"/>
          <w:lang w:val="es-SV"/>
        </w:rPr>
        <w:t>; correo electrónico:</w:t>
      </w:r>
      <w:r w:rsidRPr="00260974">
        <w:rPr>
          <w:rFonts w:eastAsia="Arial Unicode MS" w:cs="Arial Unicode MS"/>
          <w:lang w:val="es-SV"/>
        </w:rPr>
        <w:t> </w:t>
      </w:r>
      <w:hyperlink r:id="rId9" w:history="1">
        <w:r w:rsidRPr="00260974">
          <w:rPr>
            <w:rStyle w:val="Hipervnculo"/>
            <w:rFonts w:eastAsia="Arial Unicode MS" w:cs="Arial Unicode MS"/>
            <w:lang w:val="es-SV"/>
          </w:rPr>
          <w:t>oficialdeinformacion@fosep.gob.sv</w:t>
        </w:r>
      </w:hyperlink>
    </w:p>
    <w:p w:rsidR="00260974" w:rsidRPr="00260974" w:rsidRDefault="00260974" w:rsidP="00817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lang w:val="es-SV"/>
        </w:rPr>
      </w:pPr>
    </w:p>
    <w:p w:rsidR="008171E9" w:rsidRPr="00732237" w:rsidRDefault="00732237" w:rsidP="008171E9">
      <w:pPr>
        <w:spacing w:after="0" w:line="240" w:lineRule="auto"/>
        <w:jc w:val="both"/>
      </w:pPr>
      <w:r w:rsidRPr="00732237">
        <w:t>NOTIFÍQUESE</w:t>
      </w:r>
      <w:r w:rsidR="008171E9" w:rsidRPr="00732237">
        <w:t>.</w:t>
      </w:r>
    </w:p>
    <w:p w:rsidR="008171E9" w:rsidRPr="008B55AF" w:rsidRDefault="008171E9" w:rsidP="008171E9">
      <w:pPr>
        <w:spacing w:after="0" w:line="240" w:lineRule="auto"/>
        <w:jc w:val="both"/>
        <w:rPr>
          <w:b/>
        </w:rPr>
      </w:pPr>
    </w:p>
    <w:p w:rsidR="00AB641E" w:rsidRDefault="00AB641E" w:rsidP="00AB64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</w:p>
    <w:p w:rsidR="00AB641E" w:rsidRDefault="00AB641E" w:rsidP="00AB64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</w:p>
    <w:p w:rsidR="00AB641E" w:rsidRPr="00AB641E" w:rsidRDefault="008171E9" w:rsidP="00AB64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  <w:r w:rsidRPr="00AB641E">
        <w:rPr>
          <w:b/>
          <w:color w:val="000099"/>
        </w:rPr>
        <w:t>Ana Patricia Sánchez de Cruz</w:t>
      </w:r>
    </w:p>
    <w:p w:rsidR="00AB641E" w:rsidRDefault="008171E9" w:rsidP="0073223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B641E">
        <w:rPr>
          <w:rFonts w:cs="Calibri"/>
          <w:b/>
          <w:color w:val="000099"/>
          <w:spacing w:val="2"/>
        </w:rPr>
        <w:t>O</w:t>
      </w:r>
      <w:r w:rsidRPr="00AB641E">
        <w:rPr>
          <w:rFonts w:cs="Calibri"/>
          <w:b/>
          <w:color w:val="000099"/>
          <w:spacing w:val="-3"/>
        </w:rPr>
        <w:t>f</w:t>
      </w:r>
      <w:r w:rsidRPr="00AB641E">
        <w:rPr>
          <w:rFonts w:cs="Calibri"/>
          <w:b/>
          <w:color w:val="000099"/>
          <w:spacing w:val="3"/>
        </w:rPr>
        <w:t>i</w:t>
      </w:r>
      <w:r w:rsidRPr="00AB641E">
        <w:rPr>
          <w:rFonts w:cs="Calibri"/>
          <w:b/>
          <w:color w:val="000099"/>
          <w:spacing w:val="-2"/>
        </w:rPr>
        <w:t>c</w:t>
      </w:r>
      <w:r w:rsidRPr="00AB641E">
        <w:rPr>
          <w:rFonts w:cs="Calibri"/>
          <w:b/>
          <w:color w:val="000099"/>
          <w:spacing w:val="1"/>
        </w:rPr>
        <w:t>i</w:t>
      </w:r>
      <w:r w:rsidRPr="00AB641E">
        <w:rPr>
          <w:rFonts w:cs="Calibri"/>
          <w:b/>
          <w:color w:val="000099"/>
          <w:spacing w:val="-2"/>
        </w:rPr>
        <w:t>a</w:t>
      </w:r>
      <w:r w:rsidRPr="00AB641E">
        <w:rPr>
          <w:rFonts w:cs="Calibri"/>
          <w:b/>
          <w:color w:val="000099"/>
        </w:rPr>
        <w:t>l</w:t>
      </w:r>
      <w:r w:rsidRPr="00AB641E">
        <w:rPr>
          <w:b/>
          <w:color w:val="000099"/>
          <w:spacing w:val="7"/>
        </w:rPr>
        <w:t xml:space="preserve"> </w:t>
      </w:r>
      <w:r w:rsidRPr="00AB641E">
        <w:rPr>
          <w:rFonts w:cs="Calibri"/>
          <w:b/>
          <w:color w:val="000099"/>
        </w:rPr>
        <w:t>de</w:t>
      </w:r>
      <w:r w:rsidRPr="00AB641E">
        <w:rPr>
          <w:b/>
          <w:color w:val="000099"/>
          <w:spacing w:val="-2"/>
        </w:rPr>
        <w:t xml:space="preserve"> </w:t>
      </w:r>
      <w:r w:rsidRPr="00AB641E">
        <w:rPr>
          <w:rFonts w:cs="Calibri"/>
          <w:b/>
          <w:color w:val="000099"/>
          <w:spacing w:val="1"/>
        </w:rPr>
        <w:t>I</w:t>
      </w:r>
      <w:r w:rsidRPr="00AB641E">
        <w:rPr>
          <w:rFonts w:cs="Calibri"/>
          <w:b/>
          <w:color w:val="000099"/>
        </w:rPr>
        <w:t>n</w:t>
      </w:r>
      <w:r w:rsidRPr="00AB641E">
        <w:rPr>
          <w:rFonts w:cs="Calibri"/>
          <w:b/>
          <w:color w:val="000099"/>
          <w:spacing w:val="-1"/>
        </w:rPr>
        <w:t>fo</w:t>
      </w:r>
      <w:r w:rsidRPr="00AB641E">
        <w:rPr>
          <w:rFonts w:cs="Calibri"/>
          <w:b/>
          <w:color w:val="000099"/>
        </w:rPr>
        <w:t>r</w:t>
      </w:r>
      <w:r w:rsidRPr="00AB641E">
        <w:rPr>
          <w:rFonts w:cs="Calibri"/>
          <w:b/>
          <w:color w:val="000099"/>
          <w:spacing w:val="1"/>
        </w:rPr>
        <w:t>m</w:t>
      </w:r>
      <w:r w:rsidRPr="00AB641E">
        <w:rPr>
          <w:rFonts w:cs="Calibri"/>
          <w:b/>
          <w:color w:val="000099"/>
          <w:spacing w:val="-2"/>
        </w:rPr>
        <w:t>ac</w:t>
      </w:r>
      <w:r w:rsidRPr="00AB641E">
        <w:rPr>
          <w:rFonts w:cs="Calibri"/>
          <w:b/>
          <w:color w:val="000099"/>
          <w:spacing w:val="1"/>
        </w:rPr>
        <w:t>i</w:t>
      </w:r>
      <w:r w:rsidRPr="00AB641E">
        <w:rPr>
          <w:rFonts w:cs="Calibri"/>
          <w:b/>
          <w:color w:val="000099"/>
          <w:spacing w:val="-1"/>
        </w:rPr>
        <w:t>ó</w:t>
      </w:r>
      <w:r w:rsidRPr="00AB641E">
        <w:rPr>
          <w:rFonts w:cs="Calibri"/>
          <w:b/>
          <w:color w:val="000099"/>
        </w:rPr>
        <w:t>n</w:t>
      </w:r>
      <w:r w:rsidRPr="00AB641E">
        <w:rPr>
          <w:b/>
          <w:color w:val="000099"/>
          <w:spacing w:val="16"/>
        </w:rPr>
        <w:t xml:space="preserve"> </w:t>
      </w:r>
      <w:r w:rsidRPr="00AB641E">
        <w:rPr>
          <w:rFonts w:cs="Calibri"/>
          <w:b/>
          <w:color w:val="000099"/>
          <w:spacing w:val="3"/>
          <w:w w:val="102"/>
        </w:rPr>
        <w:t>I</w:t>
      </w:r>
      <w:r w:rsidRPr="00AB641E">
        <w:rPr>
          <w:rFonts w:cs="Calibri"/>
          <w:b/>
          <w:color w:val="000099"/>
          <w:spacing w:val="-3"/>
          <w:w w:val="102"/>
        </w:rPr>
        <w:t>n</w:t>
      </w:r>
      <w:r w:rsidRPr="00AB641E">
        <w:rPr>
          <w:rFonts w:cs="Calibri"/>
          <w:b/>
          <w:color w:val="000099"/>
          <w:w w:val="102"/>
        </w:rPr>
        <w:t>st</w:t>
      </w:r>
      <w:r w:rsidRPr="00AB641E">
        <w:rPr>
          <w:rFonts w:cs="Calibri"/>
          <w:b/>
          <w:color w:val="000099"/>
          <w:spacing w:val="-1"/>
          <w:w w:val="102"/>
        </w:rPr>
        <w:t>i</w:t>
      </w:r>
      <w:r w:rsidRPr="00AB641E">
        <w:rPr>
          <w:rFonts w:cs="Calibri"/>
          <w:b/>
          <w:color w:val="000099"/>
          <w:w w:val="102"/>
        </w:rPr>
        <w:t>tu</w:t>
      </w:r>
      <w:r w:rsidRPr="00AB641E">
        <w:rPr>
          <w:rFonts w:cs="Calibri"/>
          <w:b/>
          <w:color w:val="000099"/>
          <w:spacing w:val="-2"/>
          <w:w w:val="102"/>
        </w:rPr>
        <w:t>c</w:t>
      </w:r>
      <w:r w:rsidRPr="00AB641E">
        <w:rPr>
          <w:rFonts w:cs="Calibri"/>
          <w:b/>
          <w:color w:val="000099"/>
          <w:spacing w:val="1"/>
          <w:w w:val="102"/>
        </w:rPr>
        <w:t>i</w:t>
      </w:r>
      <w:r w:rsidRPr="00AB641E">
        <w:rPr>
          <w:rFonts w:cs="Calibri"/>
          <w:b/>
          <w:color w:val="000099"/>
          <w:spacing w:val="-1"/>
          <w:w w:val="102"/>
        </w:rPr>
        <w:t>o</w:t>
      </w:r>
      <w:r w:rsidRPr="00AB641E">
        <w:rPr>
          <w:rFonts w:cs="Calibri"/>
          <w:b/>
          <w:color w:val="000099"/>
          <w:w w:val="102"/>
        </w:rPr>
        <w:t>nal</w:t>
      </w: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sectPr w:rsidR="00FC52D2" w:rsidRPr="002A2DA6" w:rsidSect="00E47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11" w:rsidRDefault="003B2F11" w:rsidP="00063E85">
      <w:pPr>
        <w:spacing w:after="0" w:line="240" w:lineRule="auto"/>
      </w:pPr>
      <w:r>
        <w:separator/>
      </w:r>
    </w:p>
  </w:endnote>
  <w:endnote w:type="continuationSeparator" w:id="0">
    <w:p w:rsidR="003B2F11" w:rsidRDefault="003B2F11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Std Bk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3B2F11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3A31CF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3A31CF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11" w:rsidRDefault="003B2F11" w:rsidP="00063E85">
      <w:pPr>
        <w:spacing w:after="0" w:line="240" w:lineRule="auto"/>
      </w:pPr>
      <w:r>
        <w:separator/>
      </w:r>
    </w:p>
  </w:footnote>
  <w:footnote w:type="continuationSeparator" w:id="0">
    <w:p w:rsidR="003B2F11" w:rsidRDefault="003B2F11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B2F1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7C7FDC07" wp14:editId="5028EC02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4CF2DF1E" wp14:editId="1C666C4D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B2F1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A081F"/>
    <w:rsid w:val="000C4F55"/>
    <w:rsid w:val="000D42C9"/>
    <w:rsid w:val="001839CD"/>
    <w:rsid w:val="00185287"/>
    <w:rsid w:val="001B5C60"/>
    <w:rsid w:val="001B6AAC"/>
    <w:rsid w:val="001D57DE"/>
    <w:rsid w:val="001F20CB"/>
    <w:rsid w:val="00207396"/>
    <w:rsid w:val="00260974"/>
    <w:rsid w:val="0027792B"/>
    <w:rsid w:val="002A2DA6"/>
    <w:rsid w:val="002C2035"/>
    <w:rsid w:val="002C7C49"/>
    <w:rsid w:val="002E33BE"/>
    <w:rsid w:val="00314343"/>
    <w:rsid w:val="0034259F"/>
    <w:rsid w:val="00353796"/>
    <w:rsid w:val="00382CCC"/>
    <w:rsid w:val="00396846"/>
    <w:rsid w:val="003A31CF"/>
    <w:rsid w:val="003B2F11"/>
    <w:rsid w:val="003F3A94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07199"/>
    <w:rsid w:val="00523609"/>
    <w:rsid w:val="005B361B"/>
    <w:rsid w:val="00683E01"/>
    <w:rsid w:val="006D24FE"/>
    <w:rsid w:val="006F2702"/>
    <w:rsid w:val="006F6B20"/>
    <w:rsid w:val="0073185B"/>
    <w:rsid w:val="00732237"/>
    <w:rsid w:val="0075138E"/>
    <w:rsid w:val="007750D2"/>
    <w:rsid w:val="007774F0"/>
    <w:rsid w:val="007C05FF"/>
    <w:rsid w:val="007F1D8A"/>
    <w:rsid w:val="008171E9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A7244"/>
    <w:rsid w:val="00AB641E"/>
    <w:rsid w:val="00BA373E"/>
    <w:rsid w:val="00C00F22"/>
    <w:rsid w:val="00C14091"/>
    <w:rsid w:val="00C4746C"/>
    <w:rsid w:val="00C51218"/>
    <w:rsid w:val="00CB1F7C"/>
    <w:rsid w:val="00D01228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21BC6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NormalWeb">
    <w:name w:val="Normal (Web)"/>
    <w:basedOn w:val="Normal"/>
    <w:uiPriority w:val="99"/>
    <w:rsid w:val="008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NormalWeb">
    <w:name w:val="Normal (Web)"/>
    <w:basedOn w:val="Normal"/>
    <w:uiPriority w:val="99"/>
    <w:rsid w:val="008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9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1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deinformacion@fosep.gob.s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6C28-383A-47BB-826B-F598F5A2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2018-12-12T21:34:00Z</cp:lastPrinted>
  <dcterms:created xsi:type="dcterms:W3CDTF">2018-12-12T21:35:00Z</dcterms:created>
  <dcterms:modified xsi:type="dcterms:W3CDTF">2018-12-12T21:36:00Z</dcterms:modified>
</cp:coreProperties>
</file>