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46A" w:rsidRPr="0078285A" w:rsidRDefault="00ED4DE3" w:rsidP="004C6A24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bookmarkStart w:id="0" w:name="_GoBack"/>
      <w:r w:rsidRPr="0078285A">
        <w:rPr>
          <w:rFonts w:eastAsia="Arial Unicode MS"/>
          <w:b/>
          <w:color w:val="C00000"/>
          <w:sz w:val="16"/>
        </w:rPr>
        <w:t xml:space="preserve">Versión pública de acuerdo a lo dispuesto en el Art. 30 de la LAIP, se elimina  </w:t>
      </w:r>
      <w:r w:rsidRPr="0078285A">
        <w:rPr>
          <w:rFonts w:eastAsia="Arial Unicode MS"/>
          <w:b/>
          <w:color w:val="C00000"/>
          <w:sz w:val="16"/>
          <w:u w:val="single"/>
        </w:rPr>
        <w:t>el nombre</w:t>
      </w:r>
      <w:r w:rsidRPr="0078285A">
        <w:rPr>
          <w:rFonts w:eastAsia="Arial Unicode MS"/>
          <w:b/>
          <w:color w:val="C00000"/>
          <w:sz w:val="16"/>
        </w:rPr>
        <w:t xml:space="preserve"> por ser información que  vuelve identificable al (la) solicitante según el Art. 6 literal “a”; y al Art 19, todos de la LAIP. El dato se ubicaba en la </w:t>
      </w:r>
      <w:r w:rsidRPr="0078285A">
        <w:rPr>
          <w:rFonts w:eastAsia="Arial Unicode MS"/>
          <w:b/>
          <w:color w:val="C00000"/>
          <w:sz w:val="16"/>
          <w:u w:val="single"/>
        </w:rPr>
        <w:t>pág. 1</w:t>
      </w:r>
      <w:r w:rsidRPr="0078285A">
        <w:rPr>
          <w:rFonts w:eastAsia="Arial Unicode MS"/>
          <w:b/>
          <w:color w:val="C00000"/>
          <w:sz w:val="16"/>
        </w:rPr>
        <w:t xml:space="preserve"> de la presente resolución</w:t>
      </w:r>
    </w:p>
    <w:bookmarkEnd w:id="0"/>
    <w:p w:rsidR="001F4004" w:rsidRPr="004C6A24" w:rsidRDefault="00973C14" w:rsidP="00F264FB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4C6A24">
        <w:rPr>
          <w:rFonts w:eastAsia="Arial Unicode MS" w:cstheme="minorHAnsi"/>
          <w:b/>
          <w:color w:val="182F7C"/>
          <w:sz w:val="24"/>
          <w:lang w:val="es-SV"/>
        </w:rPr>
        <w:t xml:space="preserve">RESOLUCIÓN EN RESPUESTA A SOLICITUD DE INFORMACIÓN MAG OIR </w:t>
      </w:r>
      <w:r w:rsidRPr="00F216AD">
        <w:rPr>
          <w:rFonts w:eastAsia="Arial Unicode MS" w:cstheme="minorHAnsi"/>
          <w:b/>
          <w:color w:val="182F7C"/>
          <w:sz w:val="24"/>
          <w:u w:val="single"/>
          <w:lang w:val="es-SV"/>
        </w:rPr>
        <w:t xml:space="preserve">N° </w:t>
      </w:r>
      <w:r w:rsidR="00A22683" w:rsidRPr="00F216AD">
        <w:rPr>
          <w:rFonts w:eastAsia="Arial Unicode MS" w:cstheme="minorHAnsi"/>
          <w:b/>
          <w:color w:val="182F7C"/>
          <w:sz w:val="24"/>
          <w:u w:val="single"/>
          <w:lang w:val="es-SV"/>
        </w:rPr>
        <w:t>2</w:t>
      </w:r>
      <w:r w:rsidR="00F216AD" w:rsidRPr="00F216AD">
        <w:rPr>
          <w:rFonts w:eastAsia="Arial Unicode MS" w:cstheme="minorHAnsi"/>
          <w:b/>
          <w:color w:val="182F7C"/>
          <w:sz w:val="24"/>
          <w:u w:val="single"/>
          <w:lang w:val="es-SV"/>
        </w:rPr>
        <w:t>51</w:t>
      </w:r>
      <w:r w:rsidRPr="00F216AD">
        <w:rPr>
          <w:rFonts w:eastAsia="Arial Unicode MS" w:cstheme="minorHAnsi"/>
          <w:b/>
          <w:color w:val="182F7C"/>
          <w:sz w:val="24"/>
          <w:u w:val="single"/>
          <w:lang w:val="es-SV"/>
        </w:rPr>
        <w:t>-2018</w:t>
      </w:r>
    </w:p>
    <w:p w:rsidR="001F4004" w:rsidRPr="004C6A24" w:rsidRDefault="001F4004" w:rsidP="00F264F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F264FB" w:rsidRDefault="00973C14" w:rsidP="00F264F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  <w:r w:rsidRPr="004C6A24">
        <w:rPr>
          <w:rFonts w:eastAsia="Arial Unicode MS" w:cstheme="minorHAnsi"/>
        </w:rPr>
        <w:t xml:space="preserve">Santa Tecla, departamento de La Libertad a las </w:t>
      </w:r>
      <w:r w:rsidR="00C84C15">
        <w:rPr>
          <w:rFonts w:eastAsia="Arial Unicode MS" w:cstheme="minorHAnsi"/>
          <w:color w:val="182F7C"/>
        </w:rPr>
        <w:t>trece</w:t>
      </w:r>
      <w:r w:rsidRPr="004C6A24">
        <w:rPr>
          <w:rFonts w:eastAsia="Arial Unicode MS" w:cstheme="minorHAnsi"/>
          <w:color w:val="182F7C"/>
        </w:rPr>
        <w:t xml:space="preserve"> horas con </w:t>
      </w:r>
      <w:r w:rsidR="00C84C15">
        <w:rPr>
          <w:rFonts w:eastAsia="Arial Unicode MS" w:cstheme="minorHAnsi"/>
          <w:color w:val="182F7C"/>
        </w:rPr>
        <w:t>cuarenta</w:t>
      </w:r>
      <w:r w:rsidRPr="004C6A24">
        <w:rPr>
          <w:rFonts w:eastAsia="Arial Unicode MS" w:cstheme="minorHAnsi"/>
          <w:color w:val="182F7C"/>
        </w:rPr>
        <w:t xml:space="preserve"> minutos del día </w:t>
      </w:r>
      <w:r w:rsidR="00C84C15">
        <w:rPr>
          <w:rFonts w:eastAsia="Arial Unicode MS" w:cstheme="minorHAnsi"/>
          <w:color w:val="182F7C"/>
        </w:rPr>
        <w:t xml:space="preserve">trece de noviembre </w:t>
      </w:r>
      <w:r w:rsidRPr="004C6A24">
        <w:rPr>
          <w:rFonts w:eastAsia="Arial Unicode MS" w:cstheme="minorHAnsi"/>
          <w:color w:val="182F7C"/>
        </w:rPr>
        <w:t>de dos mil dieciocho</w:t>
      </w:r>
      <w:r w:rsidRPr="004C6A24">
        <w:rPr>
          <w:rFonts w:eastAsia="Arial Unicode MS" w:cstheme="minorHAnsi"/>
          <w:color w:val="002060"/>
        </w:rPr>
        <w:t>,</w:t>
      </w:r>
      <w:r w:rsidRPr="004C6A24">
        <w:rPr>
          <w:rFonts w:eastAsia="Arial Unicode MS" w:cstheme="minorHAnsi"/>
        </w:rPr>
        <w:t xml:space="preserve"> el Ministerio de Agricultura y Ganadería luego de haber recibido y admitido la solicitud de información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99038E" w:rsidRPr="004C6A24">
        <w:rPr>
          <w:rFonts w:eastAsia="Arial Unicode MS" w:cstheme="minorHAnsi"/>
          <w:b/>
          <w:color w:val="182F7C"/>
          <w:lang w:val="es-SV"/>
        </w:rPr>
        <w:t>2</w:t>
      </w:r>
      <w:r w:rsidR="00F216AD">
        <w:rPr>
          <w:rFonts w:eastAsia="Arial Unicode MS" w:cstheme="minorHAnsi"/>
          <w:b/>
          <w:color w:val="182F7C"/>
          <w:lang w:val="es-SV"/>
        </w:rPr>
        <w:t>51</w:t>
      </w:r>
      <w:r w:rsidRPr="004C6A24">
        <w:rPr>
          <w:rFonts w:eastAsia="Arial Unicode MS" w:cstheme="minorHAnsi"/>
          <w:b/>
          <w:color w:val="182F7C"/>
          <w:lang w:val="es-SV"/>
        </w:rPr>
        <w:t xml:space="preserve"> -2018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</w:rPr>
        <w:t>sobre:</w:t>
      </w:r>
    </w:p>
    <w:p w:rsidR="00F264FB" w:rsidRDefault="00F264FB" w:rsidP="00F264F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</w:p>
    <w:p w:rsidR="00F264FB" w:rsidRPr="00F264FB" w:rsidRDefault="00F264FB" w:rsidP="00F264FB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jc w:val="both"/>
        <w:rPr>
          <w:rFonts w:asciiTheme="minorHAnsi" w:eastAsia="Arial Unicode MS" w:hAnsiTheme="minorHAnsi" w:cstheme="minorHAnsi"/>
          <w:color w:val="000066"/>
          <w:sz w:val="22"/>
        </w:rPr>
      </w:pPr>
      <w:r w:rsidRPr="00F264FB">
        <w:rPr>
          <w:rFonts w:asciiTheme="minorHAnsi" w:eastAsia="Arial Unicode MS" w:hAnsiTheme="minorHAnsi" w:cstheme="minorHAnsi"/>
          <w:color w:val="000066"/>
          <w:sz w:val="22"/>
        </w:rPr>
        <w:t>El Registro de Productos para consumo o uso pecuario Autorizados para su importación a El Salvador que debe de estar publicado en el sitio web (Art. 13 literal h, La Ley de Sanidad Vegetal y Animal).</w:t>
      </w:r>
    </w:p>
    <w:p w:rsidR="00F264FB" w:rsidRPr="00F264FB" w:rsidRDefault="00F264FB" w:rsidP="00F264FB">
      <w:pPr>
        <w:pStyle w:val="Prrafodelista"/>
        <w:numPr>
          <w:ilvl w:val="0"/>
          <w:numId w:val="5"/>
        </w:numPr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color w:val="000066"/>
          <w:sz w:val="22"/>
        </w:rPr>
      </w:pPr>
      <w:r w:rsidRPr="00F264FB">
        <w:rPr>
          <w:rFonts w:asciiTheme="minorHAnsi" w:eastAsia="Arial Unicode MS" w:hAnsiTheme="minorHAnsi" w:cstheme="minorHAnsi"/>
          <w:color w:val="000066"/>
          <w:sz w:val="22"/>
        </w:rPr>
        <w:t>En su defecto el decreto emitido por el MAG en el que publicó en el Diario Oficial, El Registro de Productos para consumo o uso pecuario Autorizados para su importación en El Salvador (Art. 13 literal h de la misma ley)</w:t>
      </w:r>
    </w:p>
    <w:p w:rsidR="006A6149" w:rsidRPr="004C6A24" w:rsidRDefault="006A6149" w:rsidP="00F264F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</w:p>
    <w:p w:rsidR="0078285A" w:rsidRDefault="00973C14" w:rsidP="006D1E75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</w:rPr>
      </w:pPr>
      <w:r w:rsidRPr="004C6A24">
        <w:rPr>
          <w:rFonts w:eastAsia="Arial Unicode MS" w:cstheme="minorHAnsi"/>
        </w:rPr>
        <w:t>Presentada ante la Oficina de Información y Respuesta de esta dependencia por parte de:</w:t>
      </w:r>
      <w:r w:rsidR="008039C3" w:rsidRPr="004C6A24">
        <w:rPr>
          <w:rFonts w:eastAsia="Arial Unicode MS" w:cstheme="minorHAnsi"/>
        </w:rPr>
        <w:t xml:space="preserve"> </w:t>
      </w:r>
      <w:r w:rsidR="00ED4DE3">
        <w:rPr>
          <w:rFonts w:eastAsia="Arial Unicode MS" w:cstheme="minorHAnsi"/>
          <w:b/>
          <w:color w:val="182F7C"/>
          <w:lang w:val="es-SV"/>
        </w:rPr>
        <w:t>---</w:t>
      </w:r>
      <w:r w:rsidR="008039C3" w:rsidRPr="004C6A24">
        <w:rPr>
          <w:rFonts w:eastAsia="Arial Unicode MS" w:cstheme="minorHAnsi"/>
          <w:b/>
          <w:color w:val="182F7C"/>
          <w:lang w:val="es-SV"/>
        </w:rPr>
        <w:t>,</w:t>
      </w:r>
      <w:r w:rsidRPr="004C6A24">
        <w:rPr>
          <w:rFonts w:eastAsia="Arial Unicode MS" w:cstheme="minorHAnsi"/>
          <w:b/>
          <w:color w:val="000099"/>
        </w:rPr>
        <w:t xml:space="preserve"> </w:t>
      </w:r>
      <w:r w:rsidRPr="004C6A24">
        <w:rPr>
          <w:rFonts w:eastAsia="Arial Unicode MS" w:cstheme="minorHAnsi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</w:t>
      </w:r>
      <w:r w:rsidRPr="004C6A24">
        <w:rPr>
          <w:rFonts w:eastAsia="Arial Unicode MS" w:cstheme="minorHAnsi"/>
        </w:rPr>
        <w:t>e</w:t>
      </w:r>
      <w:r w:rsidRPr="004C6A24">
        <w:rPr>
          <w:rFonts w:eastAsia="Arial Unicode MS" w:cstheme="minorHAnsi"/>
        </w:rPr>
        <w:t xml:space="preserve">radas en los arts. 19 y 24 de la Ley, y 19 del Reglamento, </w:t>
      </w:r>
      <w:proofErr w:type="gramStart"/>
      <w:r w:rsidRPr="004C6A24">
        <w:rPr>
          <w:rFonts w:eastAsia="Arial Unicode MS" w:cstheme="minorHAnsi"/>
        </w:rPr>
        <w:t>resuelve</w:t>
      </w:r>
      <w:proofErr w:type="gramEnd"/>
      <w:r w:rsidRPr="004C6A24">
        <w:rPr>
          <w:rFonts w:eastAsia="Arial Unicode MS" w:cstheme="minorHAnsi"/>
        </w:rPr>
        <w:t>:</w:t>
      </w:r>
    </w:p>
    <w:p w:rsidR="001F4004" w:rsidRPr="004C6A24" w:rsidRDefault="00973C14" w:rsidP="006D1E75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  <w:r w:rsidRPr="004C6A24">
        <w:rPr>
          <w:rFonts w:eastAsia="Arial Unicode MS" w:cstheme="minorHAnsi"/>
        </w:rPr>
        <w:t xml:space="preserve"> </w:t>
      </w:r>
    </w:p>
    <w:p w:rsidR="004C6A24" w:rsidRPr="004C6A24" w:rsidRDefault="004C6A24" w:rsidP="00F264FB">
      <w:pPr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4C6A24">
        <w:rPr>
          <w:rFonts w:eastAsia="Arial Unicode MS" w:cstheme="minorHAnsi"/>
          <w:b/>
          <w:color w:val="182F7C"/>
          <w:lang w:val="es-SV"/>
        </w:rPr>
        <w:t>ORIENTAR LA UBICACIÓN DE LA INFORMACIÓN SOLICITADA</w:t>
      </w:r>
    </w:p>
    <w:p w:rsidR="004C6A24" w:rsidRPr="004C6A24" w:rsidRDefault="004C6A24" w:rsidP="00F264FB">
      <w:pPr>
        <w:spacing w:after="0" w:line="240" w:lineRule="auto"/>
        <w:jc w:val="both"/>
        <w:rPr>
          <w:rFonts w:cstheme="minorHAnsi"/>
        </w:rPr>
      </w:pPr>
    </w:p>
    <w:p w:rsidR="00F264FB" w:rsidRDefault="00F264FB" w:rsidP="00F264F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Al respecto informar que la información </w:t>
      </w:r>
      <w:r w:rsidR="006D1E75">
        <w:rPr>
          <w:rFonts w:cstheme="minorHAnsi"/>
        </w:rPr>
        <w:t xml:space="preserve">demandada se solicitó </w:t>
      </w:r>
      <w:r>
        <w:rPr>
          <w:rFonts w:cstheme="minorHAnsi"/>
        </w:rPr>
        <w:t>a la Dirección General de Ganad</w:t>
      </w:r>
      <w:r>
        <w:rPr>
          <w:rFonts w:cstheme="minorHAnsi"/>
        </w:rPr>
        <w:t>e</w:t>
      </w:r>
      <w:r>
        <w:rPr>
          <w:rFonts w:cstheme="minorHAnsi"/>
        </w:rPr>
        <w:t xml:space="preserve">ría, unidad administrativa responsable de la información </w:t>
      </w:r>
      <w:r w:rsidR="006D1E75">
        <w:rPr>
          <w:rFonts w:cstheme="minorHAnsi"/>
        </w:rPr>
        <w:t>en referencia</w:t>
      </w:r>
      <w:r>
        <w:rPr>
          <w:rFonts w:cstheme="minorHAnsi"/>
        </w:rPr>
        <w:t>, quienes respondieron lo siguiente:</w:t>
      </w:r>
    </w:p>
    <w:p w:rsidR="00F264FB" w:rsidRDefault="00F264FB" w:rsidP="00F264FB">
      <w:pPr>
        <w:spacing w:after="0" w:line="240" w:lineRule="auto"/>
        <w:jc w:val="both"/>
        <w:rPr>
          <w:rFonts w:cstheme="minorHAnsi"/>
        </w:rPr>
      </w:pPr>
    </w:p>
    <w:p w:rsidR="00094F40" w:rsidRDefault="00F264FB" w:rsidP="0055308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</w:rPr>
      </w:pPr>
      <w:r w:rsidRPr="00F264FB">
        <w:rPr>
          <w:rFonts w:cstheme="minorHAnsi"/>
        </w:rPr>
        <w:t xml:space="preserve">Para el </w:t>
      </w:r>
      <w:r w:rsidRPr="00094F40">
        <w:rPr>
          <w:rFonts w:cstheme="minorHAnsi"/>
          <w:b/>
          <w:i/>
          <w:color w:val="000066"/>
        </w:rPr>
        <w:t>numeral 1</w:t>
      </w:r>
      <w:r w:rsidRPr="00F264FB">
        <w:rPr>
          <w:rFonts w:cstheme="minorHAnsi"/>
        </w:rPr>
        <w:t>, es un ser</w:t>
      </w:r>
      <w:r>
        <w:rPr>
          <w:rFonts w:cstheme="minorHAnsi"/>
        </w:rPr>
        <w:t xml:space="preserve">vicio que esta tarifado por </w:t>
      </w:r>
      <w:r w:rsidRPr="00553087">
        <w:rPr>
          <w:rFonts w:cstheme="minorHAnsi"/>
          <w:b/>
          <w:color w:val="000066"/>
        </w:rPr>
        <w:t>el Acuerdo N° 77</w:t>
      </w:r>
      <w:r w:rsidRPr="00553087">
        <w:rPr>
          <w:rFonts w:cstheme="minorHAnsi"/>
          <w:color w:val="000066"/>
        </w:rPr>
        <w:t xml:space="preserve"> </w:t>
      </w:r>
      <w:r w:rsidRPr="00F264FB">
        <w:rPr>
          <w:rFonts w:cstheme="minorHAnsi"/>
        </w:rPr>
        <w:t xml:space="preserve">del 8 febrero de 2013, mediante el cual se autorizan precios para la venta de bienes y servicios por medio del Fondo de Actividades Especiales de la Dirección General de Sanidad Vegetal y Animal de este ministerio </w:t>
      </w:r>
      <w:r w:rsidRPr="00553087">
        <w:rPr>
          <w:rFonts w:cstheme="minorHAnsi"/>
          <w:color w:val="C00000"/>
        </w:rPr>
        <w:t>(</w:t>
      </w:r>
      <w:r w:rsidRPr="00553087">
        <w:rPr>
          <w:rFonts w:cstheme="minorHAnsi"/>
          <w:b/>
          <w:color w:val="C00000"/>
        </w:rPr>
        <w:t xml:space="preserve">ver literal C, numeral </w:t>
      </w:r>
      <w:r w:rsidR="00553087" w:rsidRPr="00553087">
        <w:rPr>
          <w:rFonts w:cstheme="minorHAnsi"/>
          <w:b/>
          <w:color w:val="C00000"/>
        </w:rPr>
        <w:t>9</w:t>
      </w:r>
      <w:r w:rsidRPr="00553087">
        <w:rPr>
          <w:rFonts w:cstheme="minorHAnsi"/>
          <w:color w:val="C00000"/>
        </w:rPr>
        <w:t>),</w:t>
      </w:r>
      <w:r w:rsidR="00553087" w:rsidRPr="00553087">
        <w:rPr>
          <w:rFonts w:cstheme="minorHAnsi"/>
          <w:color w:val="C00000"/>
        </w:rPr>
        <w:t xml:space="preserve"> </w:t>
      </w:r>
      <w:r w:rsidRPr="00F264FB">
        <w:rPr>
          <w:rFonts w:cstheme="minorHAnsi"/>
        </w:rPr>
        <w:t xml:space="preserve">su costo es de </w:t>
      </w:r>
      <w:r w:rsidRPr="00F264FB">
        <w:rPr>
          <w:rFonts w:cstheme="minorHAnsi"/>
          <w:b/>
        </w:rPr>
        <w:t>$16.95</w:t>
      </w:r>
      <w:r>
        <w:rPr>
          <w:rFonts w:cstheme="minorHAnsi"/>
        </w:rPr>
        <w:t xml:space="preserve">, </w:t>
      </w:r>
      <w:r w:rsidRPr="00F264FB">
        <w:rPr>
          <w:rFonts w:cstheme="minorHAnsi"/>
        </w:rPr>
        <w:t>debe presentar</w:t>
      </w:r>
      <w:r>
        <w:rPr>
          <w:rFonts w:cstheme="minorHAnsi"/>
        </w:rPr>
        <w:t xml:space="preserve"> </w:t>
      </w:r>
      <w:r w:rsidRPr="00F264FB">
        <w:rPr>
          <w:rFonts w:cstheme="minorHAnsi"/>
        </w:rPr>
        <w:t>una nota sencilla y una USB, pues se entrega en formato digital</w:t>
      </w:r>
      <w:r w:rsidR="00094F40">
        <w:rPr>
          <w:rFonts w:cstheme="minorHAnsi"/>
        </w:rPr>
        <w:t xml:space="preserve">. </w:t>
      </w:r>
    </w:p>
    <w:p w:rsidR="00094F40" w:rsidRDefault="00094F40" w:rsidP="0055308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</w:rPr>
      </w:pPr>
    </w:p>
    <w:p w:rsidR="00553087" w:rsidRDefault="00094F40" w:rsidP="0055308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F264FB" w:rsidRPr="00F264FB">
        <w:rPr>
          <w:rFonts w:cstheme="minorHAnsi"/>
        </w:rPr>
        <w:t>e igual forma se puede acceder a los</w:t>
      </w:r>
      <w:r w:rsidR="00F264FB">
        <w:rPr>
          <w:rFonts w:cstheme="minorHAnsi"/>
        </w:rPr>
        <w:t xml:space="preserve"> </w:t>
      </w:r>
      <w:r w:rsidR="00F264FB" w:rsidRPr="00F264FB">
        <w:rPr>
          <w:rFonts w:cstheme="minorHAnsi"/>
        </w:rPr>
        <w:t>productos vigentes en la página web de inicio del MAG</w:t>
      </w:r>
      <w:r>
        <w:rPr>
          <w:rFonts w:cstheme="minorHAnsi"/>
        </w:rPr>
        <w:t xml:space="preserve"> </w:t>
      </w:r>
      <w:r w:rsidRPr="00094F40">
        <w:rPr>
          <w:rFonts w:cstheme="minorHAnsi"/>
          <w:b/>
          <w:color w:val="000066"/>
        </w:rPr>
        <w:t>www.mag.gob.sv</w:t>
      </w:r>
      <w:r w:rsidR="00F264FB" w:rsidRPr="00F264FB">
        <w:rPr>
          <w:rFonts w:cstheme="minorHAnsi"/>
        </w:rPr>
        <w:t xml:space="preserve">, </w:t>
      </w:r>
      <w:r w:rsidR="00553087">
        <w:rPr>
          <w:rFonts w:cstheme="minorHAnsi"/>
        </w:rPr>
        <w:t xml:space="preserve">buscar en </w:t>
      </w:r>
      <w:r w:rsidR="00553087" w:rsidRPr="00094F40">
        <w:rPr>
          <w:rFonts w:cstheme="minorHAnsi"/>
          <w:b/>
          <w:color w:val="000066"/>
        </w:rPr>
        <w:t>DESTACADOS</w:t>
      </w:r>
      <w:r w:rsidR="00553087">
        <w:rPr>
          <w:rFonts w:cstheme="minorHAnsi"/>
        </w:rPr>
        <w:t xml:space="preserve"> y seleccionar </w:t>
      </w:r>
      <w:r w:rsidR="00F264FB" w:rsidRPr="00F264FB">
        <w:rPr>
          <w:rFonts w:cstheme="minorHAnsi"/>
        </w:rPr>
        <w:t xml:space="preserve">el </w:t>
      </w:r>
      <w:r w:rsidR="00F264FB" w:rsidRPr="00553087">
        <w:rPr>
          <w:rFonts w:cstheme="minorHAnsi"/>
          <w:b/>
          <w:i/>
          <w:color w:val="000066"/>
        </w:rPr>
        <w:t>icono</w:t>
      </w:r>
      <w:r w:rsidR="00F264FB" w:rsidRPr="00553087">
        <w:rPr>
          <w:rFonts w:cstheme="minorHAnsi"/>
          <w:color w:val="000066"/>
        </w:rPr>
        <w:t xml:space="preserve"> </w:t>
      </w:r>
      <w:r w:rsidR="00553087">
        <w:rPr>
          <w:rFonts w:cstheme="minorHAnsi"/>
        </w:rPr>
        <w:t xml:space="preserve">denominado </w:t>
      </w:r>
      <w:r w:rsidR="00553087" w:rsidRPr="00553087">
        <w:rPr>
          <w:rFonts w:cstheme="minorHAnsi"/>
          <w:b/>
          <w:color w:val="000066"/>
        </w:rPr>
        <w:t>C</w:t>
      </w:r>
      <w:r w:rsidR="00F264FB" w:rsidRPr="00553087">
        <w:rPr>
          <w:rFonts w:cstheme="minorHAnsi"/>
          <w:b/>
          <w:color w:val="000066"/>
        </w:rPr>
        <w:t xml:space="preserve">onsulta de </w:t>
      </w:r>
      <w:r w:rsidR="00553087" w:rsidRPr="00553087">
        <w:rPr>
          <w:rFonts w:cstheme="minorHAnsi"/>
          <w:b/>
          <w:color w:val="000066"/>
        </w:rPr>
        <w:t>M</w:t>
      </w:r>
      <w:r w:rsidR="00F264FB" w:rsidRPr="00553087">
        <w:rPr>
          <w:rFonts w:cstheme="minorHAnsi"/>
          <w:b/>
          <w:color w:val="000066"/>
        </w:rPr>
        <w:t>ed</w:t>
      </w:r>
      <w:r w:rsidR="00F264FB" w:rsidRPr="00553087">
        <w:rPr>
          <w:rFonts w:cstheme="minorHAnsi"/>
          <w:b/>
          <w:color w:val="000066"/>
        </w:rPr>
        <w:t>i</w:t>
      </w:r>
      <w:r w:rsidR="00F264FB" w:rsidRPr="00553087">
        <w:rPr>
          <w:rFonts w:cstheme="minorHAnsi"/>
          <w:b/>
          <w:color w:val="000066"/>
        </w:rPr>
        <w:t xml:space="preserve">camentos y </w:t>
      </w:r>
      <w:r w:rsidR="00553087" w:rsidRPr="00553087">
        <w:rPr>
          <w:rFonts w:cstheme="minorHAnsi"/>
          <w:b/>
          <w:color w:val="000066"/>
        </w:rPr>
        <w:t>A</w:t>
      </w:r>
      <w:r w:rsidR="00F264FB" w:rsidRPr="00553087">
        <w:rPr>
          <w:rFonts w:cstheme="minorHAnsi"/>
          <w:b/>
          <w:color w:val="000066"/>
        </w:rPr>
        <w:t>limentos veterinarios</w:t>
      </w:r>
      <w:r w:rsidR="00553087">
        <w:rPr>
          <w:rFonts w:cstheme="minorHAnsi"/>
        </w:rPr>
        <w:t>, o acceder a la siguiente dirección electrónica:</w:t>
      </w:r>
    </w:p>
    <w:p w:rsidR="00553087" w:rsidRDefault="00553087" w:rsidP="0055308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</w:rPr>
      </w:pPr>
    </w:p>
    <w:p w:rsidR="00553087" w:rsidRDefault="001B6353" w:rsidP="0055308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color w:val="000066"/>
        </w:rPr>
      </w:pPr>
      <w:hyperlink r:id="rId9" w:history="1">
        <w:r w:rsidR="00553087" w:rsidRPr="00117BF5">
          <w:rPr>
            <w:rStyle w:val="Hipervnculo"/>
            <w:rFonts w:cstheme="minorHAnsi"/>
          </w:rPr>
          <w:t>http://sist.mag.gob.sv/sisa_consultas_web/pages/consulta_productos_vet_01.jsf</w:t>
        </w:r>
      </w:hyperlink>
    </w:p>
    <w:p w:rsidR="00553087" w:rsidRPr="00553087" w:rsidRDefault="00553087" w:rsidP="0055308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color w:val="000066"/>
        </w:rPr>
      </w:pPr>
    </w:p>
    <w:p w:rsidR="00553087" w:rsidRDefault="00553087" w:rsidP="0055308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Se adjunta el Acuerdo N° 77 arriba mencionado.</w:t>
      </w:r>
    </w:p>
    <w:p w:rsidR="00F264FB" w:rsidRPr="00F264FB" w:rsidRDefault="00F264FB" w:rsidP="00F264F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</w:rPr>
      </w:pPr>
    </w:p>
    <w:p w:rsidR="00F264FB" w:rsidRDefault="00553087" w:rsidP="00F264F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Con relación a </w:t>
      </w:r>
      <w:r w:rsidRPr="00094F40">
        <w:rPr>
          <w:rFonts w:cstheme="minorHAnsi"/>
          <w:b/>
          <w:i/>
          <w:color w:val="000066"/>
        </w:rPr>
        <w:t>numeral 2</w:t>
      </w:r>
      <w:r>
        <w:rPr>
          <w:rFonts w:cstheme="minorHAnsi"/>
        </w:rPr>
        <w:t xml:space="preserve">, también se puede </w:t>
      </w:r>
      <w:r w:rsidR="00094F40">
        <w:rPr>
          <w:rFonts w:cstheme="minorHAnsi"/>
        </w:rPr>
        <w:t xml:space="preserve">encontrar </w:t>
      </w:r>
      <w:r>
        <w:rPr>
          <w:rFonts w:cstheme="minorHAnsi"/>
        </w:rPr>
        <w:t>toda la legislación referente al registro de insumos pecuarios</w:t>
      </w:r>
      <w:r w:rsidR="00094F40">
        <w:rPr>
          <w:rFonts w:cstheme="minorHAnsi"/>
        </w:rPr>
        <w:t>,</w:t>
      </w:r>
      <w:r>
        <w:rPr>
          <w:rFonts w:cstheme="minorHAnsi"/>
        </w:rPr>
        <w:t xml:space="preserve"> en nuestra página web en la sección </w:t>
      </w:r>
      <w:r w:rsidRPr="00094F40">
        <w:rPr>
          <w:rFonts w:cstheme="minorHAnsi"/>
          <w:b/>
          <w:color w:val="000066"/>
        </w:rPr>
        <w:t>NUESTROS SERVICIOS</w:t>
      </w:r>
      <w:r>
        <w:rPr>
          <w:rFonts w:cstheme="minorHAnsi"/>
        </w:rPr>
        <w:t>/Dirección General de Ganadería/Cuarentena Animal y Registro Veterinario/Servicios de Registro Veterin</w:t>
      </w:r>
      <w:r>
        <w:rPr>
          <w:rFonts w:cstheme="minorHAnsi"/>
        </w:rPr>
        <w:t>a</w:t>
      </w:r>
      <w:r>
        <w:rPr>
          <w:rFonts w:cstheme="minorHAnsi"/>
        </w:rPr>
        <w:t>rio/Normativas y Reglamentos</w:t>
      </w:r>
      <w:r w:rsidR="00094F40">
        <w:rPr>
          <w:rFonts w:cstheme="minorHAnsi"/>
        </w:rPr>
        <w:t>;</w:t>
      </w:r>
      <w:r>
        <w:rPr>
          <w:rFonts w:cstheme="minorHAnsi"/>
        </w:rPr>
        <w:t xml:space="preserve"> o</w:t>
      </w:r>
      <w:r w:rsidR="00094F40" w:rsidRPr="00094F40">
        <w:rPr>
          <w:rFonts w:cstheme="minorHAnsi"/>
        </w:rPr>
        <w:t xml:space="preserve"> </w:t>
      </w:r>
      <w:r w:rsidR="00094F40">
        <w:rPr>
          <w:rFonts w:cstheme="minorHAnsi"/>
        </w:rPr>
        <w:t>acceder al siguiente vínculo</w:t>
      </w:r>
      <w:r>
        <w:rPr>
          <w:rFonts w:cstheme="minorHAnsi"/>
        </w:rPr>
        <w:t>:</w:t>
      </w:r>
    </w:p>
    <w:p w:rsidR="00553087" w:rsidRDefault="00553087" w:rsidP="00F264FB">
      <w:pPr>
        <w:spacing w:after="0" w:line="240" w:lineRule="auto"/>
        <w:jc w:val="both"/>
        <w:rPr>
          <w:rFonts w:cstheme="minorHAnsi"/>
        </w:rPr>
      </w:pPr>
    </w:p>
    <w:p w:rsidR="00553087" w:rsidRPr="00094F40" w:rsidRDefault="001B6353" w:rsidP="0055308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color w:val="000066"/>
          <w:szCs w:val="24"/>
          <w:lang w:val="es-SV"/>
        </w:rPr>
      </w:pPr>
      <w:hyperlink r:id="rId10" w:history="1">
        <w:r w:rsidR="00553087" w:rsidRPr="00094F40">
          <w:rPr>
            <w:rStyle w:val="Hipervnculo"/>
            <w:rFonts w:eastAsia="Times New Roman" w:cstheme="minorHAnsi"/>
            <w:szCs w:val="24"/>
            <w:lang w:val="es-SV"/>
          </w:rPr>
          <w:t>http://www.mag.gob.sv/direccion-general-de-ganaderia/cuarentena-y-registro-veterinario/normativas-y-reglamentos/</w:t>
        </w:r>
      </w:hyperlink>
    </w:p>
    <w:p w:rsidR="00553087" w:rsidRPr="00553087" w:rsidRDefault="00553087" w:rsidP="0055308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Helvetica" w:eastAsia="Times New Roman" w:hAnsi="Helvetica" w:cs="Helvetica"/>
          <w:color w:val="000066"/>
          <w:sz w:val="18"/>
          <w:szCs w:val="24"/>
          <w:lang w:val="es-SV"/>
        </w:rPr>
      </w:pPr>
    </w:p>
    <w:p w:rsidR="003C5E11" w:rsidRPr="004C6A24" w:rsidRDefault="003C5E11" w:rsidP="00F264FB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 w:rsidRPr="004C6A24">
        <w:rPr>
          <w:rFonts w:eastAsia="Meiryo UI" w:cstheme="minorHAnsi"/>
        </w:rPr>
        <w:t xml:space="preserve">Comuníquese para los efectos </w:t>
      </w:r>
      <w:r w:rsidR="00ED446A" w:rsidRPr="004C6A24">
        <w:rPr>
          <w:rFonts w:eastAsia="Meiryo UI" w:cstheme="minorHAnsi"/>
        </w:rPr>
        <w:t>pertinentes</w:t>
      </w:r>
    </w:p>
    <w:p w:rsidR="003C5E11" w:rsidRDefault="003C5E11" w:rsidP="00F264FB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094F40" w:rsidRDefault="00094F40" w:rsidP="00F264FB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094F40" w:rsidRDefault="00094F40" w:rsidP="00F264FB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094F40" w:rsidRDefault="00094F40" w:rsidP="00F264FB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094F40" w:rsidRDefault="00094F40" w:rsidP="00F264FB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094F40" w:rsidRPr="004C6A24" w:rsidRDefault="00094F40" w:rsidP="00F264FB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A5ACC" w:rsidRPr="004C6A24" w:rsidRDefault="008A5ACC" w:rsidP="00F264FB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lang w:val="es-SV"/>
        </w:rPr>
      </w:pPr>
      <w:r w:rsidRPr="004C6A24">
        <w:rPr>
          <w:rFonts w:eastAsia="Arial Unicode MS" w:cstheme="minorHAnsi"/>
          <w:b/>
          <w:i/>
          <w:color w:val="182F7C"/>
          <w:lang w:val="es-SV"/>
        </w:rPr>
        <w:t>A</w:t>
      </w:r>
      <w:r w:rsidR="00973C14" w:rsidRPr="004C6A24">
        <w:rPr>
          <w:rFonts w:eastAsia="Arial Unicode MS" w:cstheme="minorHAnsi"/>
          <w:b/>
          <w:i/>
          <w:color w:val="182F7C"/>
          <w:lang w:val="es-SV"/>
        </w:rPr>
        <w:t>na Patricia Sánchez de Cruz</w:t>
      </w:r>
    </w:p>
    <w:p w:rsidR="001F4004" w:rsidRPr="004C6A24" w:rsidRDefault="00973C14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4C6A24">
        <w:rPr>
          <w:rFonts w:eastAsia="Arial Unicode MS" w:cstheme="minorHAnsi"/>
          <w:b/>
          <w:color w:val="182F7C"/>
          <w:lang w:val="es-SV"/>
        </w:rPr>
        <w:t>Oficial de Información MAG OIR</w:t>
      </w:r>
    </w:p>
    <w:sectPr w:rsidR="001F4004" w:rsidRPr="004C6A24">
      <w:headerReference w:type="default" r:id="rId11"/>
      <w:footerReference w:type="default" r:id="rId12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353" w:rsidRDefault="001B6353">
      <w:pPr>
        <w:spacing w:after="0" w:line="240" w:lineRule="auto"/>
      </w:pPr>
      <w:r>
        <w:separator/>
      </w:r>
    </w:p>
  </w:endnote>
  <w:endnote w:type="continuationSeparator" w:id="0">
    <w:p w:rsidR="001B6353" w:rsidRDefault="001B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75AF0F96" wp14:editId="57F5D6EA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-1.75pt;width:0.2pt;height:1.65pt;mso-position-vertical:top">
              <w10:wrap type="none"/>
              <v:fill o:detectmouseclick="t" type="solid" color2="#5f5f5f"/>
              <v:stroke color="#3465a4" joinstyle="round" endcap="flat"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78285A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78285A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353" w:rsidRDefault="001B6353">
      <w:pPr>
        <w:spacing w:after="0" w:line="240" w:lineRule="auto"/>
      </w:pPr>
      <w:r>
        <w:separator/>
      </w:r>
    </w:p>
  </w:footnote>
  <w:footnote w:type="continuationSeparator" w:id="0">
    <w:p w:rsidR="001B6353" w:rsidRDefault="001B6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75C0"/>
    <w:multiLevelType w:val="hybridMultilevel"/>
    <w:tmpl w:val="486E04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43C9A"/>
    <w:multiLevelType w:val="hybridMultilevel"/>
    <w:tmpl w:val="42B68E7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73E74"/>
    <w:multiLevelType w:val="hybridMultilevel"/>
    <w:tmpl w:val="50AAD87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26D43"/>
    <w:rsid w:val="00094F40"/>
    <w:rsid w:val="001932C6"/>
    <w:rsid w:val="001B6353"/>
    <w:rsid w:val="001C5B10"/>
    <w:rsid w:val="001F4004"/>
    <w:rsid w:val="0024111A"/>
    <w:rsid w:val="00281E5E"/>
    <w:rsid w:val="002A7749"/>
    <w:rsid w:val="002C5078"/>
    <w:rsid w:val="003975B3"/>
    <w:rsid w:val="003C5E11"/>
    <w:rsid w:val="004C6A24"/>
    <w:rsid w:val="005114CC"/>
    <w:rsid w:val="00553087"/>
    <w:rsid w:val="00646D79"/>
    <w:rsid w:val="00685CC9"/>
    <w:rsid w:val="006A6149"/>
    <w:rsid w:val="006D1E75"/>
    <w:rsid w:val="0075545E"/>
    <w:rsid w:val="0078285A"/>
    <w:rsid w:val="008039C3"/>
    <w:rsid w:val="008672AD"/>
    <w:rsid w:val="008A5ACC"/>
    <w:rsid w:val="009338EA"/>
    <w:rsid w:val="009656B4"/>
    <w:rsid w:val="00973C14"/>
    <w:rsid w:val="0099038E"/>
    <w:rsid w:val="00A22683"/>
    <w:rsid w:val="00AC00C2"/>
    <w:rsid w:val="00B3084D"/>
    <w:rsid w:val="00B8713F"/>
    <w:rsid w:val="00C23473"/>
    <w:rsid w:val="00C335BC"/>
    <w:rsid w:val="00C7004A"/>
    <w:rsid w:val="00C84C15"/>
    <w:rsid w:val="00ED446A"/>
    <w:rsid w:val="00ED4DE3"/>
    <w:rsid w:val="00F216AD"/>
    <w:rsid w:val="00F264FB"/>
    <w:rsid w:val="00F60F40"/>
    <w:rsid w:val="00F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ag.gob.sv/direccion-general-de-ganaderia/cuarentena-y-registro-veterinario/normativas-y-reglamento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ist.mag.gob.sv/sisa_consultas_web/pages/consulta_productos_vet_01.js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B039-0EAB-4F35-A0D4-52E3D39E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2018-11-13T20:09:00Z</cp:lastPrinted>
  <dcterms:created xsi:type="dcterms:W3CDTF">2018-11-13T20:12:00Z</dcterms:created>
  <dcterms:modified xsi:type="dcterms:W3CDTF">2018-11-13T20:21:00Z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