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0C" w:rsidRDefault="00F00D0C" w:rsidP="00F00D0C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</w:p>
    <w:p w:rsidR="00F00D0C" w:rsidRPr="00F64C76" w:rsidRDefault="00F00D0C" w:rsidP="00F00D0C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</w:pPr>
      <w:r w:rsidRPr="00F64C76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Versión pública de acuerdo a lo dispuesto en el Art. 30 de la LAIP, se elimina  </w:t>
      </w:r>
      <w:r w:rsidRPr="00F64C76">
        <w:rPr>
          <w:rFonts w:eastAsia="Arial Unicode MS" w:cstheme="majorBidi"/>
          <w:b/>
          <w:bCs/>
          <w:color w:val="C00000"/>
          <w:sz w:val="18"/>
          <w:szCs w:val="28"/>
          <w:u w:val="single"/>
          <w:lang w:val="es-SV" w:eastAsia="en-US"/>
        </w:rPr>
        <w:t>el nombre</w:t>
      </w:r>
      <w:r w:rsidRPr="00F64C76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F64C76">
        <w:rPr>
          <w:rFonts w:eastAsia="Arial Unicode MS" w:cstheme="majorBidi"/>
          <w:b/>
          <w:bCs/>
          <w:color w:val="C00000"/>
          <w:sz w:val="18"/>
          <w:szCs w:val="28"/>
          <w:u w:val="single"/>
          <w:lang w:val="es-SV" w:eastAsia="en-US"/>
        </w:rPr>
        <w:t>pág. 1</w:t>
      </w:r>
      <w:r w:rsidRPr="00F64C76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 de la presente resolución</w:t>
      </w:r>
    </w:p>
    <w:p w:rsidR="00646D79" w:rsidRDefault="00646D79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bCs/>
          <w:color w:val="000099"/>
          <w:sz w:val="24"/>
        </w:rPr>
      </w:pPr>
    </w:p>
    <w:p w:rsidR="001F4004" w:rsidRPr="00646D79" w:rsidRDefault="00973C14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646D79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2B4B62">
        <w:rPr>
          <w:rFonts w:eastAsia="Arial Unicode MS" w:cstheme="minorHAnsi"/>
          <w:b/>
          <w:color w:val="182F7C"/>
          <w:sz w:val="24"/>
          <w:lang w:val="es-SV"/>
        </w:rPr>
        <w:t>20</w:t>
      </w:r>
      <w:r w:rsidR="00320896">
        <w:rPr>
          <w:rFonts w:eastAsia="Arial Unicode MS" w:cstheme="minorHAnsi"/>
          <w:b/>
          <w:color w:val="182F7C"/>
          <w:sz w:val="24"/>
          <w:lang w:val="es-SV"/>
        </w:rPr>
        <w:t>5</w:t>
      </w:r>
      <w:r w:rsidRPr="00646D7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2C5078" w:rsidRDefault="00973C1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Santa Tecla, departamento de La Libertad a las </w:t>
      </w:r>
      <w:r w:rsidR="00C44F02">
        <w:rPr>
          <w:rFonts w:eastAsia="Arial Unicode MS" w:cstheme="minorHAnsi"/>
          <w:color w:val="182F7C"/>
        </w:rPr>
        <w:t>c</w:t>
      </w:r>
      <w:r w:rsidR="002B4B62">
        <w:rPr>
          <w:rFonts w:eastAsia="Arial Unicode MS" w:cstheme="minorHAnsi"/>
          <w:color w:val="182F7C"/>
        </w:rPr>
        <w:t>atorce</w:t>
      </w:r>
      <w:r w:rsidRPr="002C5078">
        <w:rPr>
          <w:rFonts w:eastAsia="Arial Unicode MS" w:cstheme="minorHAnsi"/>
          <w:color w:val="182F7C"/>
        </w:rPr>
        <w:t xml:space="preserve"> horas del día</w:t>
      </w:r>
      <w:r w:rsidR="002B4B62">
        <w:rPr>
          <w:rFonts w:eastAsia="Arial Unicode MS" w:cstheme="minorHAnsi"/>
          <w:color w:val="182F7C"/>
        </w:rPr>
        <w:t xml:space="preserve"> </w:t>
      </w:r>
      <w:r w:rsidR="00320896">
        <w:rPr>
          <w:rFonts w:eastAsia="Arial Unicode MS" w:cstheme="minorHAnsi"/>
          <w:color w:val="182F7C"/>
        </w:rPr>
        <w:t>trece</w:t>
      </w:r>
      <w:r w:rsidR="002B4B62">
        <w:rPr>
          <w:rFonts w:eastAsia="Arial Unicode MS" w:cstheme="minorHAnsi"/>
          <w:color w:val="182F7C"/>
        </w:rPr>
        <w:t xml:space="preserve"> de septiembre de </w:t>
      </w:r>
      <w:r w:rsidRPr="002C5078">
        <w:rPr>
          <w:rFonts w:eastAsia="Arial Unicode MS" w:cstheme="minorHAnsi"/>
          <w:color w:val="182F7C"/>
        </w:rPr>
        <w:t>dos mil dieciocho</w:t>
      </w:r>
      <w:r w:rsidRPr="002C5078">
        <w:rPr>
          <w:rFonts w:eastAsia="Arial Unicode MS" w:cstheme="minorHAnsi"/>
          <w:color w:val="002060"/>
        </w:rPr>
        <w:t>,</w:t>
      </w:r>
      <w:r w:rsidRPr="002C5078">
        <w:rPr>
          <w:rFonts w:eastAsia="Arial Unicode MS" w:cstheme="minorHAnsi"/>
        </w:rPr>
        <w:t xml:space="preserve"> el Ministerio de Agricultura y Ganadería luego de haber recibido y admitido la solic</w:t>
      </w:r>
      <w:r w:rsidRPr="002C5078">
        <w:rPr>
          <w:rFonts w:eastAsia="Arial Unicode MS" w:cstheme="minorHAnsi"/>
        </w:rPr>
        <w:t>i</w:t>
      </w:r>
      <w:r w:rsidRPr="002C5078">
        <w:rPr>
          <w:rFonts w:eastAsia="Arial Unicode MS" w:cstheme="minorHAnsi"/>
        </w:rPr>
        <w:t>tud de información</w:t>
      </w:r>
      <w:r w:rsidRPr="002C5078">
        <w:rPr>
          <w:rFonts w:eastAsia="Arial Unicode MS" w:cstheme="minorHAnsi"/>
          <w:color w:val="182F7C"/>
        </w:rPr>
        <w:t xml:space="preserve"> </w:t>
      </w:r>
      <w:r w:rsidRPr="00646D79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2B4B62">
        <w:rPr>
          <w:rFonts w:eastAsia="Arial Unicode MS" w:cstheme="minorHAnsi"/>
          <w:b/>
          <w:color w:val="182F7C"/>
          <w:lang w:val="es-SV"/>
        </w:rPr>
        <w:t>20</w:t>
      </w:r>
      <w:r w:rsidR="00320896">
        <w:rPr>
          <w:rFonts w:eastAsia="Arial Unicode MS" w:cstheme="minorHAnsi"/>
          <w:b/>
          <w:color w:val="182F7C"/>
          <w:lang w:val="es-SV"/>
        </w:rPr>
        <w:t>5</w:t>
      </w:r>
      <w:r w:rsidRPr="00646D79">
        <w:rPr>
          <w:rFonts w:eastAsia="Arial Unicode MS" w:cstheme="minorHAnsi"/>
          <w:b/>
          <w:color w:val="182F7C"/>
          <w:lang w:val="es-SV"/>
        </w:rPr>
        <w:t>-2018</w:t>
      </w:r>
      <w:r w:rsidRPr="002C5078">
        <w:rPr>
          <w:rFonts w:eastAsia="Arial Unicode MS" w:cstheme="minorHAnsi"/>
          <w:color w:val="182F7C"/>
        </w:rPr>
        <w:t xml:space="preserve"> </w:t>
      </w:r>
      <w:r w:rsidRPr="002C5078">
        <w:rPr>
          <w:rFonts w:eastAsia="Arial Unicode MS" w:cstheme="minorHAnsi"/>
        </w:rPr>
        <w:t>sobre:</w:t>
      </w:r>
    </w:p>
    <w:p w:rsidR="001F4004" w:rsidRPr="00320896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6"/>
        </w:rPr>
      </w:pPr>
    </w:p>
    <w:p w:rsidR="00320896" w:rsidRPr="00320896" w:rsidRDefault="00320896" w:rsidP="00320896">
      <w:pPr>
        <w:snapToGrid w:val="0"/>
        <w:spacing w:after="0" w:line="240" w:lineRule="auto"/>
        <w:jc w:val="both"/>
        <w:rPr>
          <w:rFonts w:eastAsia="Arial Unicode MS" w:cstheme="minorHAnsi"/>
          <w:color w:val="182F7C"/>
        </w:rPr>
      </w:pPr>
      <w:r w:rsidRPr="00320896">
        <w:rPr>
          <w:rFonts w:eastAsia="Arial Unicode MS" w:cstheme="minorHAnsi"/>
          <w:color w:val="182F7C"/>
        </w:rPr>
        <w:t>1) Copia del Reglamento Técnico Centroamericano 65.05.51:08 Medicamentos Veterinarios y</w:t>
      </w:r>
    </w:p>
    <w:p w:rsidR="00320896" w:rsidRPr="00320896" w:rsidRDefault="00320896" w:rsidP="00320896">
      <w:pPr>
        <w:snapToGrid w:val="0"/>
        <w:spacing w:after="0" w:line="240" w:lineRule="auto"/>
        <w:jc w:val="both"/>
        <w:rPr>
          <w:rFonts w:eastAsia="Arial Unicode MS" w:cstheme="minorHAnsi"/>
          <w:color w:val="182F7C"/>
        </w:rPr>
      </w:pPr>
      <w:r w:rsidRPr="00320896">
        <w:rPr>
          <w:rFonts w:eastAsia="Arial Unicode MS" w:cstheme="minorHAnsi"/>
          <w:color w:val="182F7C"/>
        </w:rPr>
        <w:t>Productos Afines, Requisitos de Registro Sanitario y Control, Buenas Prácticas de Manufactura de</w:t>
      </w:r>
    </w:p>
    <w:p w:rsidR="00320896" w:rsidRPr="00320896" w:rsidRDefault="00320896" w:rsidP="00320896">
      <w:pPr>
        <w:snapToGrid w:val="0"/>
        <w:spacing w:after="0" w:line="240" w:lineRule="auto"/>
        <w:jc w:val="both"/>
        <w:rPr>
          <w:rFonts w:eastAsia="Arial Unicode MS" w:cstheme="minorHAnsi"/>
          <w:color w:val="182F7C"/>
        </w:rPr>
      </w:pPr>
      <w:r w:rsidRPr="00320896">
        <w:rPr>
          <w:rFonts w:eastAsia="Arial Unicode MS" w:cstheme="minorHAnsi"/>
          <w:color w:val="182F7C"/>
        </w:rPr>
        <w:t>Medicamentos Veterinarios del Comité de las Américas de medicamentos veterinarios (CAMEVET).</w:t>
      </w:r>
    </w:p>
    <w:p w:rsidR="00320896" w:rsidRPr="00320896" w:rsidRDefault="00320896" w:rsidP="00320896">
      <w:pPr>
        <w:snapToGrid w:val="0"/>
        <w:spacing w:after="0" w:line="240" w:lineRule="auto"/>
        <w:jc w:val="both"/>
        <w:rPr>
          <w:rFonts w:eastAsia="Arial Unicode MS" w:cstheme="minorHAnsi"/>
          <w:color w:val="182F7C"/>
          <w:sz w:val="16"/>
        </w:rPr>
      </w:pPr>
    </w:p>
    <w:p w:rsidR="00320896" w:rsidRPr="00320896" w:rsidRDefault="00320896" w:rsidP="00320896">
      <w:pPr>
        <w:snapToGrid w:val="0"/>
        <w:spacing w:after="0" w:line="240" w:lineRule="auto"/>
        <w:jc w:val="both"/>
        <w:rPr>
          <w:rFonts w:eastAsia="Arial Unicode MS" w:cstheme="minorHAnsi"/>
          <w:color w:val="182F7C"/>
        </w:rPr>
      </w:pPr>
      <w:r w:rsidRPr="00320896">
        <w:rPr>
          <w:rFonts w:eastAsia="Arial Unicode MS" w:cstheme="minorHAnsi"/>
          <w:color w:val="182F7C"/>
        </w:rPr>
        <w:t>2) Copia del Código vigente de buenas prácticas de Manufactura de medicamentos veterinarios del</w:t>
      </w:r>
      <w:r>
        <w:rPr>
          <w:rFonts w:eastAsia="Arial Unicode MS" w:cstheme="minorHAnsi"/>
          <w:color w:val="182F7C"/>
        </w:rPr>
        <w:t xml:space="preserve"> </w:t>
      </w:r>
      <w:r w:rsidRPr="00320896">
        <w:rPr>
          <w:rFonts w:eastAsia="Arial Unicode MS" w:cstheme="minorHAnsi"/>
          <w:color w:val="182F7C"/>
        </w:rPr>
        <w:t>Comité para las Américas de Medicamentos Veterinarios del Organización Mundial de Sanidad</w:t>
      </w:r>
    </w:p>
    <w:p w:rsidR="005D4CAF" w:rsidRDefault="00320896" w:rsidP="00320896">
      <w:pPr>
        <w:snapToGrid w:val="0"/>
        <w:spacing w:after="0" w:line="240" w:lineRule="auto"/>
        <w:jc w:val="both"/>
        <w:rPr>
          <w:rFonts w:eastAsia="Arial Unicode MS" w:cstheme="minorHAnsi"/>
          <w:color w:val="182F7C"/>
        </w:rPr>
      </w:pPr>
      <w:r w:rsidRPr="00320896">
        <w:rPr>
          <w:rFonts w:eastAsia="Arial Unicode MS" w:cstheme="minorHAnsi"/>
          <w:color w:val="182F7C"/>
        </w:rPr>
        <w:t>Animal (01E)</w:t>
      </w:r>
    </w:p>
    <w:p w:rsidR="00320896" w:rsidRPr="00320896" w:rsidRDefault="00320896" w:rsidP="00320896">
      <w:pPr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1F4004" w:rsidRPr="002C5078" w:rsidRDefault="00973C14" w:rsidP="002B4B62">
      <w:pPr>
        <w:snapToGrid w:val="0"/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Presentada ante la Oficina de Información y Respuesta de esta dependencia por parte de: </w:t>
      </w:r>
      <w:r w:rsidR="00AA6C36">
        <w:rPr>
          <w:rFonts w:eastAsia="Arial Unicode MS" w:cstheme="minorHAnsi"/>
        </w:rPr>
        <w:t>----</w:t>
      </w:r>
      <w:r w:rsidRPr="002C5078">
        <w:rPr>
          <w:rFonts w:eastAsia="Arial Unicode MS" w:cstheme="minorHAnsi"/>
        </w:rPr>
        <w:t>,</w:t>
      </w:r>
      <w:r w:rsidRPr="002C5078">
        <w:rPr>
          <w:rFonts w:eastAsia="Arial Unicode MS" w:cstheme="minorHAnsi"/>
          <w:b/>
          <w:color w:val="000099"/>
        </w:rPr>
        <w:t xml:space="preserve"> </w:t>
      </w:r>
      <w:r w:rsidRPr="002C5078">
        <w:rPr>
          <w:rFonts w:eastAsia="Arial Unicode MS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2C5078">
        <w:rPr>
          <w:rFonts w:eastAsia="Arial Unicode MS" w:cstheme="minorHAnsi"/>
        </w:rPr>
        <w:t>resuelve</w:t>
      </w:r>
      <w:proofErr w:type="gramEnd"/>
      <w:r w:rsidRPr="002C5078">
        <w:rPr>
          <w:rFonts w:eastAsia="Arial Unicode MS" w:cstheme="minorHAnsi"/>
        </w:rPr>
        <w:t xml:space="preserve">: </w:t>
      </w:r>
    </w:p>
    <w:p w:rsidR="001F4004" w:rsidRPr="00320896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  <w:sz w:val="16"/>
        </w:rPr>
      </w:pPr>
    </w:p>
    <w:p w:rsidR="00921C09" w:rsidRDefault="00973C14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8A5ACC">
        <w:rPr>
          <w:rFonts w:eastAsia="Arial Unicode MS" w:cstheme="minorHAnsi"/>
          <w:b/>
          <w:color w:val="182F7C"/>
          <w:lang w:val="es-SV"/>
        </w:rPr>
        <w:t>PROPORCIONAR</w:t>
      </w:r>
      <w:r w:rsidR="00C44F02">
        <w:rPr>
          <w:rFonts w:eastAsia="Arial Unicode MS" w:cstheme="minorHAnsi"/>
          <w:b/>
          <w:color w:val="182F7C"/>
          <w:lang w:val="es-SV"/>
        </w:rPr>
        <w:t xml:space="preserve"> LA INFORMACIÓN SOLICITADA</w:t>
      </w:r>
    </w:p>
    <w:p w:rsidR="00921C09" w:rsidRPr="00320896" w:rsidRDefault="00921C09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16"/>
          <w:lang w:val="es-SV"/>
        </w:rPr>
      </w:pPr>
    </w:p>
    <w:p w:rsidR="00320896" w:rsidRDefault="00320896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Adjuntamos al presente oficio los siguientes documentos:</w:t>
      </w:r>
    </w:p>
    <w:p w:rsidR="00320896" w:rsidRPr="00320896" w:rsidRDefault="00320896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16"/>
        </w:rPr>
      </w:pPr>
    </w:p>
    <w:p w:rsidR="00320896" w:rsidRPr="00320896" w:rsidRDefault="00817921" w:rsidP="00320896">
      <w:pPr>
        <w:pStyle w:val="Prrafodelista"/>
        <w:numPr>
          <w:ilvl w:val="0"/>
          <w:numId w:val="6"/>
        </w:numPr>
        <w:snapToGrid w:val="0"/>
        <w:jc w:val="both"/>
        <w:rPr>
          <w:rFonts w:asciiTheme="minorHAnsi" w:eastAsia="Arial Unicode MS" w:hAnsiTheme="minorHAnsi" w:cstheme="minorHAnsi"/>
          <w:color w:val="182F7C"/>
          <w:sz w:val="22"/>
          <w:szCs w:val="22"/>
        </w:rPr>
      </w:pPr>
      <w:r w:rsidRPr="00320896">
        <w:rPr>
          <w:rFonts w:asciiTheme="minorHAnsi" w:eastAsia="Arial Unicode MS" w:hAnsiTheme="minorHAnsi" w:cstheme="minorHAnsi"/>
          <w:color w:val="182F7C"/>
          <w:sz w:val="22"/>
          <w:szCs w:val="22"/>
        </w:rPr>
        <w:t xml:space="preserve">Copia </w:t>
      </w:r>
      <w:r w:rsidR="00320896" w:rsidRPr="00320896">
        <w:rPr>
          <w:rFonts w:asciiTheme="minorHAnsi" w:eastAsia="Arial Unicode MS" w:hAnsiTheme="minorHAnsi" w:cstheme="minorHAnsi"/>
          <w:color w:val="182F7C"/>
          <w:sz w:val="22"/>
          <w:szCs w:val="22"/>
        </w:rPr>
        <w:t>digital del Reglamento Técnico Centroamericano 65.05.51:08 Medicamentos Veterinarios y Productos Afines, Requisitos de Registro Sanitario y Control, Buenas Prácticas de Manufactura de</w:t>
      </w:r>
      <w:r w:rsidR="00320896">
        <w:rPr>
          <w:rFonts w:asciiTheme="minorHAnsi" w:eastAsia="Arial Unicode MS" w:hAnsiTheme="minorHAnsi" w:cstheme="minorHAnsi"/>
          <w:color w:val="182F7C"/>
          <w:sz w:val="22"/>
          <w:szCs w:val="22"/>
        </w:rPr>
        <w:t xml:space="preserve"> </w:t>
      </w:r>
      <w:r w:rsidR="00320896" w:rsidRPr="00320896">
        <w:rPr>
          <w:rFonts w:asciiTheme="minorHAnsi" w:eastAsia="Arial Unicode MS" w:hAnsiTheme="minorHAnsi" w:cstheme="minorHAnsi"/>
          <w:color w:val="182F7C"/>
          <w:sz w:val="22"/>
          <w:szCs w:val="22"/>
        </w:rPr>
        <w:t>Medicamentos Veterinarios del Comité de las Américas de medicamentos veterinarios (CAMEVET).</w:t>
      </w:r>
    </w:p>
    <w:p w:rsidR="00320896" w:rsidRPr="00320896" w:rsidRDefault="00320896" w:rsidP="00320896">
      <w:pPr>
        <w:snapToGrid w:val="0"/>
        <w:spacing w:after="0" w:line="240" w:lineRule="auto"/>
        <w:jc w:val="both"/>
        <w:rPr>
          <w:rFonts w:eastAsia="Arial Unicode MS" w:cstheme="minorHAnsi"/>
          <w:color w:val="182F7C"/>
          <w:sz w:val="16"/>
        </w:rPr>
      </w:pPr>
    </w:p>
    <w:p w:rsidR="00320896" w:rsidRPr="00320896" w:rsidRDefault="00320896" w:rsidP="00320896">
      <w:pPr>
        <w:pStyle w:val="Prrafodelista"/>
        <w:numPr>
          <w:ilvl w:val="0"/>
          <w:numId w:val="6"/>
        </w:numPr>
        <w:snapToGrid w:val="0"/>
        <w:jc w:val="both"/>
        <w:rPr>
          <w:rFonts w:asciiTheme="minorHAnsi" w:eastAsia="Arial Unicode MS" w:hAnsiTheme="minorHAnsi" w:cstheme="minorHAnsi"/>
          <w:color w:val="182F7C"/>
          <w:sz w:val="22"/>
          <w:szCs w:val="22"/>
        </w:rPr>
      </w:pPr>
      <w:r w:rsidRPr="00320896">
        <w:rPr>
          <w:rFonts w:asciiTheme="minorHAnsi" w:eastAsia="Arial Unicode MS" w:hAnsiTheme="minorHAnsi" w:cstheme="minorHAnsi"/>
          <w:color w:val="182F7C"/>
          <w:sz w:val="22"/>
          <w:szCs w:val="22"/>
        </w:rPr>
        <w:t>Copia digital del Código actualizado de buenas prácticas de Manufactura de medicamentos veterinarios del Comité para las Américas de Medicamentos Veterinarios del Organización Mundial de Sanidad Animal (01E) (CAMEVET)</w:t>
      </w:r>
    </w:p>
    <w:p w:rsidR="00320896" w:rsidRDefault="003C5E11" w:rsidP="00320896">
      <w:pPr>
        <w:autoSpaceDE w:val="0"/>
        <w:autoSpaceDN w:val="0"/>
        <w:adjustRightInd w:val="0"/>
        <w:jc w:val="both"/>
        <w:rPr>
          <w:rFonts w:cstheme="minorHAnsi"/>
        </w:rPr>
      </w:pPr>
      <w:r w:rsidRPr="003C5E11">
        <w:rPr>
          <w:rFonts w:eastAsia="Meiryo UI" w:cstheme="minorHAnsi"/>
        </w:rPr>
        <w:t>Comuníquese para los efec</w:t>
      </w:r>
      <w:r w:rsidR="00320896">
        <w:rPr>
          <w:rFonts w:eastAsia="Meiryo UI" w:cstheme="minorHAnsi"/>
        </w:rPr>
        <w:t>tos pertinentes</w:t>
      </w:r>
      <w:bookmarkStart w:id="0" w:name="_GoBack"/>
      <w:bookmarkEnd w:id="0"/>
    </w:p>
    <w:p w:rsidR="008A5ACC" w:rsidRPr="00646D79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46D79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646D79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1F4004" w:rsidRPr="00646D79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21" w:rsidRDefault="009A7621">
      <w:pPr>
        <w:spacing w:after="0" w:line="240" w:lineRule="auto"/>
      </w:pPr>
      <w:r>
        <w:separator/>
      </w:r>
    </w:p>
  </w:endnote>
  <w:endnote w:type="continuationSeparator" w:id="0">
    <w:p w:rsidR="009A7621" w:rsidRDefault="009A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72728AEC" wp14:editId="2F4872C0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F00D0C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F00D0C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21" w:rsidRDefault="009A7621">
      <w:pPr>
        <w:spacing w:after="0" w:line="240" w:lineRule="auto"/>
      </w:pPr>
      <w:r>
        <w:separator/>
      </w:r>
    </w:p>
  </w:footnote>
  <w:footnote w:type="continuationSeparator" w:id="0">
    <w:p w:rsidR="009A7621" w:rsidRDefault="009A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FFE"/>
    <w:multiLevelType w:val="hybridMultilevel"/>
    <w:tmpl w:val="E97AA1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73140"/>
    <w:multiLevelType w:val="hybridMultilevel"/>
    <w:tmpl w:val="5DAC29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8276C"/>
    <w:multiLevelType w:val="hybridMultilevel"/>
    <w:tmpl w:val="05284624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DA1018"/>
    <w:multiLevelType w:val="hybridMultilevel"/>
    <w:tmpl w:val="77101C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B30C5"/>
    <w:multiLevelType w:val="hybridMultilevel"/>
    <w:tmpl w:val="52981E7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1932C6"/>
    <w:rsid w:val="001C62ED"/>
    <w:rsid w:val="001F4004"/>
    <w:rsid w:val="002726FF"/>
    <w:rsid w:val="002A7749"/>
    <w:rsid w:val="002B4B62"/>
    <w:rsid w:val="002C5078"/>
    <w:rsid w:val="00320896"/>
    <w:rsid w:val="00321905"/>
    <w:rsid w:val="00360B7E"/>
    <w:rsid w:val="003C5E11"/>
    <w:rsid w:val="0048359D"/>
    <w:rsid w:val="00487346"/>
    <w:rsid w:val="005114CC"/>
    <w:rsid w:val="005D027F"/>
    <w:rsid w:val="005D4CAF"/>
    <w:rsid w:val="0062022C"/>
    <w:rsid w:val="00646D79"/>
    <w:rsid w:val="00685CC9"/>
    <w:rsid w:val="006A0D49"/>
    <w:rsid w:val="0075545E"/>
    <w:rsid w:val="00817921"/>
    <w:rsid w:val="008A5ACC"/>
    <w:rsid w:val="00921C09"/>
    <w:rsid w:val="009338EA"/>
    <w:rsid w:val="009421DD"/>
    <w:rsid w:val="00973C14"/>
    <w:rsid w:val="009770E5"/>
    <w:rsid w:val="0099038E"/>
    <w:rsid w:val="009A7621"/>
    <w:rsid w:val="00AA6C36"/>
    <w:rsid w:val="00B43341"/>
    <w:rsid w:val="00C44D4D"/>
    <w:rsid w:val="00C44F02"/>
    <w:rsid w:val="00C7004A"/>
    <w:rsid w:val="00D3271A"/>
    <w:rsid w:val="00F00D0C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F80F-3913-4C99-8BAE-CCE83362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5</cp:revision>
  <cp:lastPrinted>2018-09-13T20:09:00Z</cp:lastPrinted>
  <dcterms:created xsi:type="dcterms:W3CDTF">2018-09-13T20:09:00Z</dcterms:created>
  <dcterms:modified xsi:type="dcterms:W3CDTF">2018-09-13T20:12:00Z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