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A9" w:rsidRPr="00834626" w:rsidRDefault="006C7FA9" w:rsidP="006C7FA9">
      <w:pPr>
        <w:jc w:val="center"/>
        <w:rPr>
          <w:rFonts w:eastAsia="Arial Unicode MS" w:cs="Arial Unicode MS"/>
          <w:b/>
          <w:color w:val="C00000"/>
          <w:sz w:val="16"/>
          <w:szCs w:val="28"/>
        </w:rPr>
      </w:pPr>
      <w:r w:rsidRPr="00834626">
        <w:rPr>
          <w:rFonts w:eastAsia="Arial Unicode MS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523609" w:rsidRPr="00407E28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407E28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07E28">
        <w:rPr>
          <w:rFonts w:eastAsia="Arial Unicode MS" w:cstheme="minorHAnsi"/>
          <w:b/>
          <w:color w:val="000099"/>
          <w:sz w:val="24"/>
          <w:u w:val="single"/>
        </w:rPr>
        <w:t>MAG OIR N° 1</w:t>
      </w:r>
      <w:r w:rsidR="00407E28">
        <w:rPr>
          <w:rFonts w:eastAsia="Arial Unicode MS" w:cstheme="minorHAnsi"/>
          <w:b/>
          <w:color w:val="000099"/>
          <w:sz w:val="24"/>
          <w:u w:val="single"/>
        </w:rPr>
        <w:t>75</w:t>
      </w:r>
      <w:r w:rsidRPr="00407E28"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407E28">
        <w:rPr>
          <w:rFonts w:eastAsia="Arial Unicode MS" w:cstheme="minorHAnsi"/>
          <w:color w:val="000099"/>
        </w:rPr>
        <w:t>once</w:t>
      </w:r>
      <w:r w:rsidRPr="00407E28">
        <w:rPr>
          <w:rFonts w:eastAsia="Arial Unicode MS" w:cstheme="minorHAnsi"/>
          <w:color w:val="000099"/>
        </w:rPr>
        <w:t xml:space="preserve"> horas del </w:t>
      </w:r>
      <w:r w:rsidR="00132D8B" w:rsidRPr="00407E28">
        <w:rPr>
          <w:rFonts w:eastAsia="Arial Unicode MS" w:cstheme="minorHAnsi"/>
          <w:color w:val="000099"/>
        </w:rPr>
        <w:t xml:space="preserve">día </w:t>
      </w:r>
      <w:r w:rsidR="00407E28">
        <w:rPr>
          <w:rFonts w:eastAsia="Arial Unicode MS" w:cstheme="minorHAnsi"/>
          <w:color w:val="000099"/>
        </w:rPr>
        <w:t xml:space="preserve">veinte </w:t>
      </w:r>
      <w:r w:rsidRPr="00407E28">
        <w:rPr>
          <w:rFonts w:eastAsia="Arial Unicode MS" w:cstheme="minorHAnsi"/>
          <w:color w:val="000099"/>
        </w:rPr>
        <w:t>de julio de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407E28">
        <w:rPr>
          <w:rFonts w:eastAsia="Arial Unicode MS" w:cstheme="minorHAnsi"/>
          <w:b/>
          <w:color w:val="000099"/>
        </w:rPr>
        <w:t>MAG OIR No. 1</w:t>
      </w:r>
      <w:r w:rsidR="00132D8B" w:rsidRPr="00407E28">
        <w:rPr>
          <w:rFonts w:eastAsia="Arial Unicode MS" w:cstheme="minorHAnsi"/>
          <w:b/>
          <w:color w:val="000099"/>
        </w:rPr>
        <w:t>7</w:t>
      </w:r>
      <w:r w:rsidR="00407E28">
        <w:rPr>
          <w:rFonts w:eastAsia="Arial Unicode MS" w:cstheme="minorHAnsi"/>
          <w:b/>
          <w:color w:val="000099"/>
        </w:rPr>
        <w:t>5</w:t>
      </w:r>
      <w:r w:rsidRPr="00407E28">
        <w:rPr>
          <w:rFonts w:eastAsia="Arial Unicode MS" w:cstheme="minorHAnsi"/>
          <w:b/>
          <w:color w:val="000099"/>
        </w:rPr>
        <w:t xml:space="preserve"> -2018</w:t>
      </w:r>
      <w:r w:rsidRPr="00407E28">
        <w:rPr>
          <w:rFonts w:eastAsia="Arial Unicode MS" w:cstheme="minorHAnsi"/>
          <w:color w:val="000099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407E28" w:rsidRPr="00407E28" w:rsidRDefault="00407E28" w:rsidP="00407E28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0099"/>
          <w:sz w:val="22"/>
        </w:rPr>
      </w:pPr>
      <w:r w:rsidRPr="00407E28">
        <w:rPr>
          <w:rFonts w:asciiTheme="minorHAnsi" w:eastAsia="Arial Unicode MS" w:hAnsiTheme="minorHAnsi" w:cstheme="minorHAnsi"/>
          <w:i/>
          <w:color w:val="000099"/>
          <w:sz w:val="22"/>
        </w:rPr>
        <w:t>Estadísticas de Producción Nacional del Jocote en sus diferentes variedades, para el periodo 2010.2017</w:t>
      </w:r>
    </w:p>
    <w:p w:rsidR="00512184" w:rsidRDefault="00407E28" w:rsidP="00407E28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0099"/>
          <w:sz w:val="22"/>
        </w:rPr>
      </w:pP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>Posición de Mercado (como esta en el mercado</w:t>
      </w:r>
      <w:r w:rsidR="00512184" w:rsidRPr="00512184">
        <w:rPr>
          <w:rFonts w:asciiTheme="minorHAnsi" w:eastAsia="Arial Unicode MS" w:hAnsiTheme="minorHAnsi" w:cstheme="minorHAnsi"/>
          <w:i/>
          <w:color w:val="000099"/>
          <w:sz w:val="22"/>
        </w:rPr>
        <w:t xml:space="preserve"> internacional-exportación</w:t>
      </w: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 xml:space="preserve"> el Jocote en sus diferentes variedades, para el periodo</w:t>
      </w: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 xml:space="preserve"> </w:t>
      </w: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>2010-2017</w:t>
      </w:r>
      <w:r w:rsidR="006371CE" w:rsidRPr="00512184">
        <w:rPr>
          <w:rFonts w:asciiTheme="minorHAnsi" w:eastAsia="Arial Unicode MS" w:hAnsiTheme="minorHAnsi" w:cstheme="minorHAnsi"/>
          <w:i/>
          <w:color w:val="000099"/>
          <w:sz w:val="22"/>
        </w:rPr>
        <w:t xml:space="preserve"> </w:t>
      </w:r>
    </w:p>
    <w:p w:rsidR="00407E28" w:rsidRPr="00512184" w:rsidRDefault="00407E28" w:rsidP="00407E28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0099"/>
          <w:sz w:val="22"/>
        </w:rPr>
      </w:pP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>Exportación a las regiones o países donde se exporta el Jocote en sus diferentes variedades (volumen y</w:t>
      </w:r>
      <w:r w:rsidRPr="00512184">
        <w:rPr>
          <w:rFonts w:asciiTheme="minorHAnsi" w:eastAsia="Arial Unicode MS" w:hAnsiTheme="minorHAnsi" w:cstheme="minorHAnsi"/>
          <w:i/>
          <w:color w:val="000099"/>
          <w:sz w:val="22"/>
        </w:rPr>
        <w:t xml:space="preserve"> </w:t>
      </w:r>
      <w:r w:rsidR="00512184">
        <w:rPr>
          <w:rFonts w:asciiTheme="minorHAnsi" w:eastAsia="Arial Unicode MS" w:hAnsiTheme="minorHAnsi" w:cstheme="minorHAnsi"/>
          <w:i/>
          <w:color w:val="000099"/>
          <w:sz w:val="22"/>
        </w:rPr>
        <w:t>países) periodo 2010-2017</w:t>
      </w:r>
    </w:p>
    <w:p w:rsidR="00352EC1" w:rsidRPr="00407E28" w:rsidRDefault="00407E28" w:rsidP="00407E28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0099"/>
          <w:sz w:val="22"/>
        </w:rPr>
      </w:pPr>
      <w:r w:rsidRPr="00407E28">
        <w:rPr>
          <w:rFonts w:asciiTheme="minorHAnsi" w:eastAsia="Arial Unicode MS" w:hAnsiTheme="minorHAnsi" w:cstheme="minorHAnsi"/>
          <w:i/>
          <w:color w:val="000099"/>
          <w:sz w:val="22"/>
        </w:rPr>
        <w:t>Estadísticas de empleo y oportunidades laborales en la Producción del Jocote en sus diferentes</w:t>
      </w:r>
      <w:r>
        <w:rPr>
          <w:rFonts w:asciiTheme="minorHAnsi" w:eastAsia="Arial Unicode MS" w:hAnsiTheme="minorHAnsi" w:cstheme="minorHAnsi"/>
          <w:i/>
          <w:color w:val="000099"/>
          <w:sz w:val="22"/>
        </w:rPr>
        <w:t xml:space="preserve"> </w:t>
      </w:r>
      <w:r w:rsidRPr="00407E28">
        <w:rPr>
          <w:rFonts w:asciiTheme="minorHAnsi" w:eastAsia="Arial Unicode MS" w:hAnsiTheme="minorHAnsi" w:cstheme="minorHAnsi"/>
          <w:i/>
          <w:color w:val="000099"/>
          <w:sz w:val="22"/>
        </w:rPr>
        <w:t>vari</w:t>
      </w:r>
      <w:r w:rsidR="00512184">
        <w:rPr>
          <w:rFonts w:asciiTheme="minorHAnsi" w:eastAsia="Arial Unicode MS" w:hAnsiTheme="minorHAnsi" w:cstheme="minorHAnsi"/>
          <w:i/>
          <w:color w:val="000099"/>
          <w:sz w:val="22"/>
        </w:rPr>
        <w:t>edades, en el periodo 2010-2017</w:t>
      </w:r>
    </w:p>
    <w:p w:rsidR="00407E28" w:rsidRPr="00B561A8" w:rsidRDefault="00407E28" w:rsidP="00407E2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  <w:lang w:val="x-none"/>
        </w:rPr>
      </w:pPr>
    </w:p>
    <w:p w:rsidR="00523609" w:rsidRPr="008C6A38" w:rsidRDefault="00523609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F874D3">
        <w:rPr>
          <w:rFonts w:eastAsia="Arial Unicode MS" w:cstheme="minorHAnsi"/>
        </w:rPr>
        <w:t>----</w:t>
      </w:r>
      <w:bookmarkStart w:id="0" w:name="_GoBack"/>
      <w:bookmarkEnd w:id="0"/>
      <w:r w:rsidR="00352EC1" w:rsidRPr="008C6A38">
        <w:rPr>
          <w:rFonts w:eastAsia="Arial Unicode MS" w:cstheme="minorHAnsi"/>
        </w:rPr>
        <w:t>,</w:t>
      </w:r>
      <w:r w:rsidR="00352EC1"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C6A38">
        <w:rPr>
          <w:rFonts w:eastAsia="Arial Unicode MS" w:cstheme="minorHAnsi"/>
        </w:rPr>
        <w:t>resuelve</w:t>
      </w:r>
      <w:proofErr w:type="gramEnd"/>
      <w:r w:rsidRPr="008C6A38">
        <w:rPr>
          <w:rFonts w:eastAsia="Arial Unicode MS" w:cstheme="minorHAnsi"/>
        </w:rPr>
        <w:t>:</w:t>
      </w:r>
    </w:p>
    <w:p w:rsidR="00523609" w:rsidRPr="00407E28" w:rsidRDefault="00523609" w:rsidP="00407E2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</w:rPr>
      </w:pPr>
      <w:r w:rsidRPr="00407E28">
        <w:rPr>
          <w:rFonts w:eastAsia="Arial Unicode MS" w:cstheme="minorHAnsi"/>
          <w:b/>
          <w:color w:val="000099"/>
          <w:sz w:val="24"/>
        </w:rPr>
        <w:t xml:space="preserve">PROPORCIONAR </w:t>
      </w:r>
      <w:r w:rsidR="00407E28" w:rsidRPr="00407E28">
        <w:rPr>
          <w:rFonts w:eastAsia="Arial Unicode MS" w:cstheme="minorHAnsi"/>
          <w:b/>
          <w:sz w:val="24"/>
        </w:rPr>
        <w:t>PARTE</w:t>
      </w:r>
      <w:r w:rsidR="00407E28">
        <w:rPr>
          <w:rFonts w:eastAsia="Arial Unicode MS" w:cstheme="minorHAnsi"/>
          <w:b/>
          <w:color w:val="000099"/>
          <w:sz w:val="24"/>
        </w:rPr>
        <w:t xml:space="preserve"> DE </w:t>
      </w:r>
      <w:r w:rsidRPr="00407E28">
        <w:rPr>
          <w:rFonts w:eastAsia="Arial Unicode MS" w:cstheme="minorHAnsi"/>
          <w:b/>
          <w:color w:val="000099"/>
          <w:sz w:val="24"/>
        </w:rPr>
        <w:t>LA INFORMACIÓN SOLICITADA</w:t>
      </w: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407E28" w:rsidRDefault="00523609" w:rsidP="008D067E">
      <w:pPr>
        <w:spacing w:after="0" w:line="240" w:lineRule="auto"/>
        <w:jc w:val="both"/>
        <w:rPr>
          <w:rFonts w:cstheme="minorHAnsi"/>
        </w:rPr>
      </w:pPr>
      <w:r w:rsidRPr="008C6A38">
        <w:rPr>
          <w:rFonts w:cstheme="minorHAnsi"/>
        </w:rPr>
        <w:t xml:space="preserve">Al respecto se </w:t>
      </w:r>
      <w:r w:rsidR="0028049F">
        <w:rPr>
          <w:rFonts w:cstheme="minorHAnsi"/>
        </w:rPr>
        <w:t>adjunta</w:t>
      </w:r>
      <w:r w:rsidR="00BE111F">
        <w:rPr>
          <w:rFonts w:cstheme="minorHAnsi"/>
        </w:rPr>
        <w:t xml:space="preserve"> al presente oficio</w:t>
      </w:r>
      <w:r w:rsidR="00407E28">
        <w:rPr>
          <w:rFonts w:cstheme="minorHAnsi"/>
        </w:rPr>
        <w:t xml:space="preserve"> un archivo en formato PDF seleccionable información del período 2009 a 2017 sobre Retrospectiva, Producción y Rendimiento de jocote según ciclo agrícola</w:t>
      </w:r>
    </w:p>
    <w:p w:rsidR="00407E28" w:rsidRDefault="00407E28" w:rsidP="008D067E">
      <w:pPr>
        <w:spacing w:after="0" w:line="240" w:lineRule="auto"/>
        <w:jc w:val="both"/>
        <w:rPr>
          <w:rFonts w:cstheme="minorHAnsi"/>
        </w:rPr>
      </w:pPr>
    </w:p>
    <w:p w:rsidR="002452B3" w:rsidRPr="001F601E" w:rsidRDefault="00407E28" w:rsidP="002452B3">
      <w:pPr>
        <w:spacing w:after="0" w:line="240" w:lineRule="auto"/>
        <w:jc w:val="both"/>
        <w:rPr>
          <w:rFonts w:eastAsia="Arial Unicode MS" w:cs="Arial Unicode MS"/>
        </w:rPr>
      </w:pPr>
      <w:r>
        <w:rPr>
          <w:rFonts w:cstheme="minorHAnsi"/>
        </w:rPr>
        <w:t>L</w:t>
      </w:r>
      <w:r w:rsidR="0028049F">
        <w:rPr>
          <w:rFonts w:cstheme="minorHAnsi"/>
        </w:rPr>
        <w:t xml:space="preserve">a siguiente </w:t>
      </w:r>
      <w:r>
        <w:rPr>
          <w:rFonts w:cstheme="minorHAnsi"/>
        </w:rPr>
        <w:t>sobre</w:t>
      </w:r>
      <w:r w:rsidR="006371CE" w:rsidRPr="006371CE">
        <w:t xml:space="preserve"> </w:t>
      </w:r>
      <w:r w:rsidR="006371CE" w:rsidRPr="00B06258">
        <w:rPr>
          <w:i/>
          <w:color w:val="000099"/>
        </w:rPr>
        <w:t>p</w:t>
      </w:r>
      <w:r w:rsidR="006371CE" w:rsidRPr="00B06258">
        <w:rPr>
          <w:rFonts w:cstheme="minorHAnsi"/>
          <w:i/>
          <w:color w:val="000099"/>
        </w:rPr>
        <w:t xml:space="preserve">osición de </w:t>
      </w:r>
      <w:r w:rsidR="006371CE" w:rsidRPr="00B06258">
        <w:rPr>
          <w:rFonts w:cstheme="minorHAnsi"/>
          <w:i/>
          <w:color w:val="000099"/>
        </w:rPr>
        <w:t>m</w:t>
      </w:r>
      <w:r w:rsidR="006371CE" w:rsidRPr="00B06258">
        <w:rPr>
          <w:rFonts w:cstheme="minorHAnsi"/>
          <w:i/>
          <w:color w:val="000099"/>
        </w:rPr>
        <w:t>ercado (como esta en el mercado</w:t>
      </w:r>
      <w:r w:rsidR="006371CE" w:rsidRPr="00B06258">
        <w:rPr>
          <w:rFonts w:cstheme="minorHAnsi"/>
          <w:i/>
          <w:color w:val="000099"/>
        </w:rPr>
        <w:t xml:space="preserve"> internacional-exportación</w:t>
      </w:r>
      <w:r w:rsidR="006371CE" w:rsidRPr="00B06258">
        <w:rPr>
          <w:rFonts w:cstheme="minorHAnsi"/>
          <w:i/>
          <w:color w:val="000099"/>
        </w:rPr>
        <w:t>) el Jocote en sus diferentes varied</w:t>
      </w:r>
      <w:r w:rsidR="006371CE" w:rsidRPr="00B06258">
        <w:rPr>
          <w:rFonts w:cstheme="minorHAnsi"/>
          <w:i/>
          <w:color w:val="000099"/>
        </w:rPr>
        <w:t>ades, para el periodo 2010-2017; y ex</w:t>
      </w:r>
      <w:r w:rsidR="006371CE" w:rsidRPr="00B06258">
        <w:rPr>
          <w:rFonts w:cstheme="minorHAnsi"/>
          <w:i/>
          <w:color w:val="000099"/>
        </w:rPr>
        <w:t>portación a las regiones o países donde se exporta el Jocote en sus diferentes variedades (volu</w:t>
      </w:r>
      <w:r w:rsidR="00B06258" w:rsidRPr="00B06258">
        <w:rPr>
          <w:rFonts w:cstheme="minorHAnsi"/>
          <w:i/>
          <w:color w:val="000099"/>
        </w:rPr>
        <w:t>men y países) periodo 2010-2017</w:t>
      </w:r>
      <w:r w:rsidR="00B06258">
        <w:rPr>
          <w:rFonts w:cstheme="minorHAnsi"/>
        </w:rPr>
        <w:t>; sobre los puntos anteriores</w:t>
      </w:r>
      <w:r w:rsidR="002452B3" w:rsidRPr="001F601E">
        <w:rPr>
          <w:rFonts w:cstheme="minorHAnsi"/>
        </w:rPr>
        <w:t xml:space="preserve">, </w:t>
      </w:r>
      <w:r w:rsidR="002452B3" w:rsidRPr="001F601E">
        <w:rPr>
          <w:rFonts w:eastAsia="Arial Unicode MS" w:cs="Arial Unicode MS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512184" w:rsidRDefault="00512184" w:rsidP="002452B3">
      <w:pPr>
        <w:jc w:val="center"/>
        <w:rPr>
          <w:rFonts w:eastAsia="Arial Unicode MS" w:cstheme="minorHAnsi"/>
          <w:b/>
          <w:color w:val="000099"/>
          <w:sz w:val="24"/>
        </w:rPr>
      </w:pPr>
    </w:p>
    <w:p w:rsidR="002452B3" w:rsidRPr="002452B3" w:rsidRDefault="002452B3" w:rsidP="002452B3">
      <w:pPr>
        <w:jc w:val="center"/>
        <w:rPr>
          <w:rFonts w:eastAsia="Arial Unicode MS" w:cstheme="minorHAnsi"/>
          <w:b/>
          <w:color w:val="000099"/>
          <w:sz w:val="24"/>
        </w:rPr>
      </w:pPr>
      <w:r w:rsidRPr="002452B3">
        <w:rPr>
          <w:rFonts w:eastAsia="Arial Unicode MS" w:cstheme="minorHAnsi"/>
          <w:b/>
          <w:color w:val="000099"/>
          <w:sz w:val="24"/>
        </w:rPr>
        <w:t>NO ENTREGAR LA INFORMACION POR NO SER ESTA INSTITUCIÓN COMPETENTE PARA CONOCER DE LA MISMA</w:t>
      </w:r>
    </w:p>
    <w:p w:rsidR="002452B3" w:rsidRPr="001F601E" w:rsidRDefault="002452B3" w:rsidP="002452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</w:p>
    <w:p w:rsidR="002452B3" w:rsidRPr="001F601E" w:rsidRDefault="002452B3" w:rsidP="002452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1F601E">
        <w:rPr>
          <w:rFonts w:eastAsia="Arial Unicode MS" w:cs="Arial Unicode MS"/>
        </w:rPr>
        <w:lastRenderedPageBreak/>
        <w:t xml:space="preserve">Para mayor información </w:t>
      </w:r>
      <w:r w:rsidRPr="001F601E">
        <w:rPr>
          <w:rFonts w:eastAsia="Calibri" w:cstheme="minorHAnsi"/>
          <w:lang w:eastAsia="en-US"/>
        </w:rPr>
        <w:t xml:space="preserve">sugerimos realizar la consulta </w:t>
      </w:r>
      <w:r w:rsidRPr="001F601E">
        <w:rPr>
          <w:rFonts w:eastAsia="Calibri" w:cstheme="minorHAnsi"/>
          <w:color w:val="000099"/>
          <w:lang w:eastAsia="en-US"/>
        </w:rPr>
        <w:t xml:space="preserve">al BCR- Centro de Importaciones y Exportaciones (CIEX) </w:t>
      </w:r>
      <w:r w:rsidRPr="001F601E">
        <w:rPr>
          <w:rFonts w:eastAsia="Calibri" w:cstheme="minorHAnsi"/>
          <w:lang w:eastAsia="en-US"/>
        </w:rPr>
        <w:t>ya que los trámites de exportaciones definitivas son realizados en el sistema SICEX, y/o consultar al Banco Central de Reserva</w:t>
      </w:r>
      <w:r w:rsidRPr="001F601E">
        <w:rPr>
          <w:rFonts w:eastAsia="Arial Unicode MS" w:cstheme="minorHAnsi"/>
        </w:rPr>
        <w:t xml:space="preserve"> contactar a: </w:t>
      </w:r>
    </w:p>
    <w:p w:rsidR="002452B3" w:rsidRDefault="002452B3" w:rsidP="002452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1F601E">
        <w:rPr>
          <w:rFonts w:eastAsia="Arial Unicode MS" w:cs="Arial Unicode MS"/>
        </w:rPr>
        <w:t xml:space="preserve">Oficial de Información: </w:t>
      </w:r>
      <w:r w:rsidRPr="001F601E">
        <w:rPr>
          <w:rFonts w:eastAsia="Arial Unicode MS" w:cs="Arial Unicode MS"/>
          <w:b/>
          <w:color w:val="000099"/>
        </w:rPr>
        <w:t xml:space="preserve">Flor </w:t>
      </w:r>
      <w:proofErr w:type="spellStart"/>
      <w:r w:rsidRPr="001F601E">
        <w:rPr>
          <w:rFonts w:eastAsia="Arial Unicode MS" w:cs="Arial Unicode MS"/>
          <w:b/>
          <w:color w:val="000099"/>
        </w:rPr>
        <w:t>Idania</w:t>
      </w:r>
      <w:proofErr w:type="spellEnd"/>
      <w:r w:rsidRPr="001F601E">
        <w:rPr>
          <w:rFonts w:eastAsia="Arial Unicode MS" w:cs="Arial Unicode MS"/>
          <w:b/>
          <w:color w:val="000099"/>
        </w:rPr>
        <w:t xml:space="preserve"> Romero de Fernández Edificio BCR</w:t>
      </w:r>
      <w:r w:rsidRPr="001F601E">
        <w:rPr>
          <w:rFonts w:eastAsia="Arial Unicode MS" w:cs="Arial Unicode MS"/>
        </w:rPr>
        <w:t xml:space="preserve">, Alameda Juan Pablo II, entre 15 y 17 Av. Norte, Planta Principal, correo electrónico: </w:t>
      </w:r>
      <w:r w:rsidRPr="001F601E">
        <w:rPr>
          <w:rFonts w:eastAsia="Arial Unicode MS" w:cs="Arial Unicode MS"/>
          <w:b/>
          <w:color w:val="000099"/>
        </w:rPr>
        <w:t>oficial.informacion@bcr.gob.sv</w:t>
      </w:r>
      <w:r w:rsidRPr="001F601E">
        <w:rPr>
          <w:rFonts w:eastAsia="Arial Unicode MS" w:cs="Arial Unicode MS"/>
        </w:rPr>
        <w:t>, teléfono: 2281-8030 o al 2281-8533</w:t>
      </w:r>
      <w:r>
        <w:rPr>
          <w:rFonts w:eastAsia="Arial Unicode MS" w:cs="Arial Unicode MS"/>
        </w:rPr>
        <w:t>.</w:t>
      </w:r>
    </w:p>
    <w:p w:rsidR="002452B3" w:rsidRDefault="002452B3" w:rsidP="002452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Y el requerimiento acerca de estadísticas de empleo y oportunidades de empleo en torno al cultivo del jocote, consultar al Ministerio de Economía</w:t>
      </w:r>
      <w:r w:rsidR="00512184">
        <w:rPr>
          <w:rFonts w:eastAsia="Arial Unicode MS" w:cs="Arial Unicode MS"/>
        </w:rPr>
        <w:t>, a continuación dejo los contactos:</w:t>
      </w:r>
    </w:p>
    <w:p w:rsidR="00512184" w:rsidRDefault="00512184" w:rsidP="002452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="Arial Unicode MS"/>
        </w:rPr>
      </w:pPr>
      <w:r w:rsidRPr="00512184">
        <w:rPr>
          <w:rFonts w:eastAsia="Arial Unicode MS" w:cs="Arial Unicode MS"/>
          <w:b/>
          <w:color w:val="000099"/>
        </w:rPr>
        <w:t>Ministerio de Economía</w:t>
      </w:r>
      <w:r w:rsidRPr="00512184">
        <w:rPr>
          <w:rFonts w:eastAsia="Arial Unicode MS" w:cs="Arial Unicode MS"/>
        </w:rPr>
        <w:t xml:space="preserve">, contactar a: </w:t>
      </w:r>
      <w:r w:rsidRPr="00512184">
        <w:rPr>
          <w:rFonts w:eastAsia="Arial Unicode MS" w:cs="Arial Unicode MS"/>
          <w:b/>
          <w:color w:val="000099"/>
        </w:rPr>
        <w:t>Oficial de Información</w:t>
      </w:r>
      <w:r w:rsidRPr="00512184">
        <w:rPr>
          <w:rFonts w:eastAsia="Arial Unicode MS" w:cs="Arial Unicode MS"/>
        </w:rPr>
        <w:t xml:space="preserve">: Laura Quintanilla de Arias, Calle Guadalupe y Alameda Juan Pablo II, Edificio C2, Primera Planta, Plan Maestro Centro de Gobierno, San Salvador, El Salvador, correo electrónico y teléfonos: </w:t>
      </w:r>
      <w:r w:rsidRPr="00512184">
        <w:rPr>
          <w:rFonts w:eastAsia="Arial Unicode MS" w:cs="Arial Unicode MS"/>
          <w:b/>
          <w:color w:val="000099"/>
        </w:rPr>
        <w:t>oir@minec.gob.sv</w:t>
      </w:r>
      <w:r w:rsidRPr="00512184">
        <w:rPr>
          <w:rFonts w:eastAsia="Arial Unicode MS" w:cs="Arial Unicode MS"/>
        </w:rPr>
        <w:t xml:space="preserve">, Tel: </w:t>
      </w:r>
      <w:r>
        <w:rPr>
          <w:rFonts w:eastAsia="Arial Unicode MS" w:cs="Arial Unicode MS"/>
        </w:rPr>
        <w:t xml:space="preserve">(503) </w:t>
      </w:r>
      <w:r w:rsidRPr="00512184">
        <w:rPr>
          <w:rFonts w:eastAsia="Arial Unicode MS" w:cs="Arial Unicode MS"/>
        </w:rPr>
        <w:t>2590-5532.</w:t>
      </w:r>
    </w:p>
    <w:p w:rsidR="00D62F72" w:rsidRPr="00D62F72" w:rsidRDefault="00D62F72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523609" w:rsidRPr="008C6A38" w:rsidRDefault="00523609" w:rsidP="00512184">
      <w:pPr>
        <w:rPr>
          <w:rFonts w:cstheme="minorHAnsi"/>
        </w:rPr>
      </w:pPr>
      <w:r w:rsidRPr="008C6A38">
        <w:rPr>
          <w:rFonts w:cstheme="minorHAnsi"/>
        </w:rPr>
        <w:t>Notifíquese</w:t>
      </w:r>
    </w:p>
    <w:p w:rsidR="005236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0105A8" w:rsidRDefault="000105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D62F72" w:rsidRDefault="00D62F72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B561A8" w:rsidRPr="008C6A38" w:rsidRDefault="00B561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523609" w:rsidRPr="00512184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</w:rPr>
      </w:pPr>
    </w:p>
    <w:p w:rsidR="00523609" w:rsidRPr="00512184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</w:rPr>
      </w:pPr>
      <w:r w:rsidRPr="00512184">
        <w:rPr>
          <w:rFonts w:eastAsia="Arial Unicode MS" w:cs="Arial Unicode MS"/>
          <w:b/>
          <w:color w:val="000099"/>
        </w:rPr>
        <w:t>Ana Patricia Sánchez de Cruz</w:t>
      </w:r>
    </w:p>
    <w:p w:rsidR="00523609" w:rsidRPr="00512184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</w:rPr>
      </w:pPr>
      <w:r w:rsidRPr="00512184">
        <w:rPr>
          <w:rFonts w:eastAsia="Arial Unicode MS" w:cs="Arial Unicode MS"/>
          <w:b/>
          <w:color w:val="000099"/>
        </w:rPr>
        <w:t xml:space="preserve">Oficial de Información </w:t>
      </w:r>
      <w:r w:rsidR="00512184" w:rsidRPr="00512184">
        <w:rPr>
          <w:rFonts w:eastAsia="Arial Unicode MS" w:cs="Arial Unicode MS"/>
          <w:b/>
          <w:color w:val="000099"/>
        </w:rPr>
        <w:t>OIR-Ministerio de Agricultura y Ganadería</w:t>
      </w:r>
    </w:p>
    <w:sectPr w:rsidR="00523609" w:rsidRPr="00512184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89" w:rsidRDefault="006F5E89" w:rsidP="00063E85">
      <w:pPr>
        <w:spacing w:after="0" w:line="240" w:lineRule="auto"/>
      </w:pPr>
      <w:r>
        <w:separator/>
      </w:r>
    </w:p>
  </w:endnote>
  <w:endnote w:type="continuationSeparator" w:id="0">
    <w:p w:rsidR="006F5E89" w:rsidRDefault="006F5E89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6F5E89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874D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874D3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89" w:rsidRDefault="006F5E89" w:rsidP="00063E85">
      <w:pPr>
        <w:spacing w:after="0" w:line="240" w:lineRule="auto"/>
      </w:pPr>
      <w:r>
        <w:separator/>
      </w:r>
    </w:p>
  </w:footnote>
  <w:footnote w:type="continuationSeparator" w:id="0">
    <w:p w:rsidR="006F5E89" w:rsidRDefault="006F5E89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F5E8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F5E8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21E63"/>
    <w:multiLevelType w:val="hybridMultilevel"/>
    <w:tmpl w:val="65A6ED6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51799"/>
    <w:multiLevelType w:val="hybridMultilevel"/>
    <w:tmpl w:val="DEFE6A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72E22"/>
    <w:multiLevelType w:val="hybridMultilevel"/>
    <w:tmpl w:val="FB6885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4290"/>
    <w:multiLevelType w:val="hybridMultilevel"/>
    <w:tmpl w:val="F3BC1B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B2681"/>
    <w:rsid w:val="000D42C9"/>
    <w:rsid w:val="00132D8B"/>
    <w:rsid w:val="001839CD"/>
    <w:rsid w:val="001B5C60"/>
    <w:rsid w:val="001B6AAC"/>
    <w:rsid w:val="001C4D03"/>
    <w:rsid w:val="001D57DE"/>
    <w:rsid w:val="001F20CB"/>
    <w:rsid w:val="002452B3"/>
    <w:rsid w:val="0028049F"/>
    <w:rsid w:val="002C2035"/>
    <w:rsid w:val="002C7C49"/>
    <w:rsid w:val="002D0F1E"/>
    <w:rsid w:val="002E33BE"/>
    <w:rsid w:val="00352EC1"/>
    <w:rsid w:val="00382CCC"/>
    <w:rsid w:val="00396846"/>
    <w:rsid w:val="003F7A84"/>
    <w:rsid w:val="00407E28"/>
    <w:rsid w:val="00410963"/>
    <w:rsid w:val="00417C95"/>
    <w:rsid w:val="00430147"/>
    <w:rsid w:val="004678E5"/>
    <w:rsid w:val="004A1E52"/>
    <w:rsid w:val="004A518E"/>
    <w:rsid w:val="00512184"/>
    <w:rsid w:val="00523609"/>
    <w:rsid w:val="00530E0D"/>
    <w:rsid w:val="00586E3D"/>
    <w:rsid w:val="005B361B"/>
    <w:rsid w:val="005E34FE"/>
    <w:rsid w:val="006371CE"/>
    <w:rsid w:val="0067724E"/>
    <w:rsid w:val="006C7FA9"/>
    <w:rsid w:val="006D24FE"/>
    <w:rsid w:val="006E0614"/>
    <w:rsid w:val="006F5E89"/>
    <w:rsid w:val="006F6B20"/>
    <w:rsid w:val="0073185B"/>
    <w:rsid w:val="0075138E"/>
    <w:rsid w:val="007750D2"/>
    <w:rsid w:val="007760DC"/>
    <w:rsid w:val="007C05FF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D6C00"/>
    <w:rsid w:val="00A31F2D"/>
    <w:rsid w:val="00AA7244"/>
    <w:rsid w:val="00AE5F91"/>
    <w:rsid w:val="00B06258"/>
    <w:rsid w:val="00B561A8"/>
    <w:rsid w:val="00BE111F"/>
    <w:rsid w:val="00C00F22"/>
    <w:rsid w:val="00C14091"/>
    <w:rsid w:val="00C37F1D"/>
    <w:rsid w:val="00C4746C"/>
    <w:rsid w:val="00C51218"/>
    <w:rsid w:val="00C9514C"/>
    <w:rsid w:val="00CB1F7C"/>
    <w:rsid w:val="00D230F2"/>
    <w:rsid w:val="00D463A1"/>
    <w:rsid w:val="00D62F72"/>
    <w:rsid w:val="00D70F04"/>
    <w:rsid w:val="00DA3514"/>
    <w:rsid w:val="00DC5379"/>
    <w:rsid w:val="00DD1DAE"/>
    <w:rsid w:val="00E1217D"/>
    <w:rsid w:val="00E47F2A"/>
    <w:rsid w:val="00E83B54"/>
    <w:rsid w:val="00EB33D3"/>
    <w:rsid w:val="00ED2DD2"/>
    <w:rsid w:val="00EE38DB"/>
    <w:rsid w:val="00F04C46"/>
    <w:rsid w:val="00F12F33"/>
    <w:rsid w:val="00F359B5"/>
    <w:rsid w:val="00F64508"/>
    <w:rsid w:val="00F708E3"/>
    <w:rsid w:val="00F874D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9589-A75A-4A12-84AA-27436D13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2018-07-20T19:25:00Z</cp:lastPrinted>
  <dcterms:created xsi:type="dcterms:W3CDTF">2018-07-20T19:25:00Z</dcterms:created>
  <dcterms:modified xsi:type="dcterms:W3CDTF">2018-07-20T19:27:00Z</dcterms:modified>
</cp:coreProperties>
</file>