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19A7" w:rsidRDefault="000619A7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0619A7" w:rsidRPr="00AC5CB4" w:rsidRDefault="000619A7" w:rsidP="000619A7">
      <w:pPr>
        <w:jc w:val="center"/>
        <w:rPr>
          <w:rFonts w:asciiTheme="minorHAnsi" w:eastAsia="Arial Unicode MS" w:hAnsiTheme="minorHAnsi" w:cstheme="minorHAnsi"/>
          <w:b/>
          <w:color w:val="C00000"/>
          <w:sz w:val="16"/>
          <w:szCs w:val="28"/>
        </w:rPr>
      </w:pPr>
      <w:r w:rsidRPr="00AC5CB4">
        <w:rPr>
          <w:rFonts w:asciiTheme="minorHAnsi" w:eastAsia="Arial Unicode MS" w:hAnsiTheme="minorHAnsi" w:cstheme="minorHAnsi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AC5CB4">
        <w:rPr>
          <w:rFonts w:asciiTheme="minorHAnsi" w:eastAsia="Arial Unicode MS" w:hAnsiTheme="minorHAnsi" w:cstheme="minorHAnsi"/>
          <w:b/>
          <w:color w:val="C00000"/>
          <w:sz w:val="16"/>
          <w:szCs w:val="28"/>
          <w:u w:val="single"/>
        </w:rPr>
        <w:t>página 1</w:t>
      </w:r>
      <w:r w:rsidRPr="00AC5CB4">
        <w:rPr>
          <w:rFonts w:asciiTheme="minorHAnsi" w:eastAsia="Arial Unicode MS" w:hAnsiTheme="minorHAnsi" w:cstheme="minorHAnsi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LAIP.</w:t>
      </w:r>
    </w:p>
    <w:p w:rsidR="000619A7" w:rsidRDefault="000619A7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4F12A6" w:rsidRPr="00670326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E35D37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159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0619A7" w:rsidRDefault="004F12A6" w:rsidP="009E6C76">
      <w:pPr>
        <w:jc w:val="both"/>
        <w:rPr>
          <w:rFonts w:asciiTheme="minorHAnsi" w:eastAsia="Arial Unicode MS" w:hAnsiTheme="minorHAnsi" w:cstheme="minorHAnsi"/>
          <w:sz w:val="18"/>
          <w:szCs w:val="22"/>
        </w:rPr>
      </w:pP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>o</w:t>
      </w:r>
      <w:r w:rsidR="00E35D37">
        <w:rPr>
          <w:rFonts w:asciiTheme="minorHAnsi" w:eastAsia="Arial Unicode MS" w:hAnsiTheme="minorHAnsi" w:cstheme="minorHAnsi"/>
          <w:color w:val="000099"/>
          <w:sz w:val="22"/>
          <w:szCs w:val="22"/>
        </w:rPr>
        <w:t>n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>ce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cincuenta minutos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E35D37">
        <w:rPr>
          <w:rFonts w:asciiTheme="minorHAnsi" w:eastAsia="Arial Unicode MS" w:hAnsiTheme="minorHAnsi" w:cstheme="minorHAnsi"/>
          <w:color w:val="000099"/>
          <w:sz w:val="22"/>
          <w:szCs w:val="22"/>
        </w:rPr>
        <w:t>veintidós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E35D37">
        <w:rPr>
          <w:rFonts w:asciiTheme="minorHAnsi" w:eastAsia="Arial Unicode MS" w:hAnsiTheme="minorHAnsi" w:cstheme="minorHAnsi"/>
          <w:color w:val="000099"/>
          <w:sz w:val="22"/>
          <w:szCs w:val="22"/>
        </w:rPr>
        <w:t>junio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E35D3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159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E35D37" w:rsidRPr="00E35D37" w:rsidRDefault="00E35D37" w:rsidP="00E35D37">
      <w:pPr>
        <w:suppressAutoHyphens w:val="0"/>
        <w:jc w:val="both"/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</w:pPr>
      <w:r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“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Con respecto a los productos: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Café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, Caña de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Azúcar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,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Algodón y cacao, se solicitan estadísticas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económicas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de cada producto en el </w:t>
      </w:r>
      <w:r w:rsidRPr="00E35D37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precio y la </w:t>
      </w:r>
      <w:r w:rsidRPr="00E35D37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producción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de cada año,  los años que se requiere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n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son del año 2000 al actual si es posible.  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Además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si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sería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posible  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algún dato que e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specifique la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evolución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que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h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a tenido en la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economía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(precio y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producción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) cada producto, 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sería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perfecto</w:t>
      </w:r>
      <w:r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”</w:t>
      </w:r>
      <w:r w:rsidRPr="00E35D37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.</w:t>
      </w:r>
    </w:p>
    <w:p w:rsidR="00E35D37" w:rsidRPr="000619A7" w:rsidRDefault="00E35D37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8"/>
          <w:szCs w:val="22"/>
        </w:rPr>
      </w:pPr>
    </w:p>
    <w:p w:rsidR="00E35D37" w:rsidRDefault="004F12A6" w:rsidP="00E35D37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r w:rsidR="000619A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---------</w:t>
      </w: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E35D37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y con base </w:t>
      </w:r>
      <w:r w:rsidR="00E35D37">
        <w:rPr>
          <w:rFonts w:asciiTheme="minorHAnsi" w:hAnsiTheme="minorHAnsi" w:cstheme="minorHAnsi"/>
          <w:sz w:val="22"/>
          <w:szCs w:val="22"/>
        </w:rPr>
        <w:t>al art. 62 inciso 2º, que la misma ya está disponible al público resuelve:</w:t>
      </w:r>
    </w:p>
    <w:p w:rsidR="00E35D37" w:rsidRPr="000619A7" w:rsidRDefault="00E35D37" w:rsidP="00E35D37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E35D37" w:rsidRDefault="00E35D37" w:rsidP="00E35D37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>ORIENTAR LA UBICACIÓN DE LA INFORMACIÓN SOLICITADA</w:t>
      </w:r>
    </w:p>
    <w:p w:rsidR="00E71F61" w:rsidRDefault="00E71F61" w:rsidP="00E35D37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35D37" w:rsidRPr="00E35D37" w:rsidRDefault="00E35D37" w:rsidP="00E35D37">
      <w:pPr>
        <w:pStyle w:val="Prrafodelista"/>
        <w:numPr>
          <w:ilvl w:val="0"/>
          <w:numId w:val="46"/>
        </w:numPr>
        <w:suppressAutoHyphens w:val="0"/>
        <w:rPr>
          <w:rFonts w:asciiTheme="minorHAnsi" w:hAnsiTheme="minorHAnsi" w:cstheme="minorHAnsi"/>
          <w:sz w:val="22"/>
          <w:szCs w:val="22"/>
          <w:lang w:eastAsia="es-SV"/>
        </w:rPr>
      </w:pPr>
      <w:r w:rsidRPr="00E35D37">
        <w:rPr>
          <w:rFonts w:asciiTheme="minorHAnsi" w:hAnsiTheme="minorHAnsi" w:cstheme="minorHAnsi"/>
          <w:sz w:val="22"/>
          <w:szCs w:val="22"/>
          <w:u w:val="single"/>
          <w:lang w:eastAsia="es-SV"/>
        </w:rPr>
        <w:t>Estadística precios (retrospectiva de precios de 2000 a la fecha de azúcar y cacao):</w:t>
      </w:r>
      <w:r w:rsidRPr="00E35D37">
        <w:rPr>
          <w:rFonts w:asciiTheme="minorHAnsi" w:hAnsiTheme="minorHAnsi" w:cstheme="minorHAnsi"/>
          <w:sz w:val="22"/>
          <w:szCs w:val="22"/>
          <w:lang w:eastAsia="es-SV"/>
        </w:rPr>
        <w:t xml:space="preserve"> </w:t>
      </w:r>
    </w:p>
    <w:p w:rsidR="00E35D37" w:rsidRPr="00E35D37" w:rsidRDefault="00E35D37" w:rsidP="00E35D37">
      <w:pPr>
        <w:pStyle w:val="Prrafodelista"/>
        <w:suppressAutoHyphens w:val="0"/>
        <w:ind w:left="720"/>
        <w:rPr>
          <w:rFonts w:asciiTheme="minorHAnsi" w:hAnsiTheme="minorHAnsi" w:cstheme="minorHAnsi"/>
          <w:sz w:val="22"/>
          <w:szCs w:val="22"/>
          <w:lang w:eastAsia="es-SV"/>
        </w:rPr>
      </w:pPr>
      <w:hyperlink r:id="rId9" w:tgtFrame="_blank" w:history="1">
        <w:r w:rsidRPr="00E35D37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es-SV"/>
          </w:rPr>
          <w:t>http://www.mag.gob.sv/direccion-general-de-economia-agropecuaria/estadisticas-agropecuarias/retrospectiva-mensual-de-precios-de-productos-agropecuarios/</w:t>
        </w:r>
      </w:hyperlink>
    </w:p>
    <w:p w:rsidR="00E35D37" w:rsidRPr="00E35D37" w:rsidRDefault="00E35D37" w:rsidP="00E35D37">
      <w:pPr>
        <w:suppressAutoHyphens w:val="0"/>
        <w:rPr>
          <w:rFonts w:asciiTheme="minorHAnsi" w:hAnsiTheme="minorHAnsi" w:cstheme="minorHAnsi"/>
          <w:sz w:val="22"/>
          <w:szCs w:val="22"/>
          <w:lang w:eastAsia="es-SV"/>
        </w:rPr>
      </w:pPr>
    </w:p>
    <w:p w:rsidR="00E35D37" w:rsidRPr="00E35D37" w:rsidRDefault="00E35D37" w:rsidP="00E35D37">
      <w:pPr>
        <w:pStyle w:val="Prrafodelista"/>
        <w:numPr>
          <w:ilvl w:val="0"/>
          <w:numId w:val="46"/>
        </w:numPr>
        <w:suppressAutoHyphens w:val="0"/>
        <w:rPr>
          <w:rFonts w:asciiTheme="minorHAnsi" w:hAnsiTheme="minorHAnsi" w:cstheme="minorHAnsi"/>
          <w:sz w:val="22"/>
          <w:szCs w:val="22"/>
          <w:lang w:eastAsia="es-SV"/>
        </w:rPr>
      </w:pPr>
      <w:r w:rsidRPr="00E35D37">
        <w:rPr>
          <w:rFonts w:asciiTheme="minorHAnsi" w:hAnsiTheme="minorHAnsi" w:cstheme="minorHAnsi"/>
          <w:sz w:val="22"/>
          <w:szCs w:val="22"/>
          <w:u w:val="single"/>
          <w:lang w:eastAsia="es-SV"/>
        </w:rPr>
        <w:t>Estadística producción (De 2000 a la fecha de azúcar, algodón y cacao)</w:t>
      </w:r>
      <w:r w:rsidRPr="00E35D37">
        <w:rPr>
          <w:rFonts w:asciiTheme="minorHAnsi" w:hAnsiTheme="minorHAnsi" w:cstheme="minorHAnsi"/>
          <w:sz w:val="22"/>
          <w:szCs w:val="22"/>
          <w:lang w:eastAsia="es-SV"/>
        </w:rPr>
        <w:t xml:space="preserve"> </w:t>
      </w:r>
    </w:p>
    <w:p w:rsidR="00E35D37" w:rsidRPr="00E35D37" w:rsidRDefault="00E35D37" w:rsidP="00E35D37">
      <w:pPr>
        <w:pStyle w:val="Prrafodelista"/>
        <w:suppressAutoHyphens w:val="0"/>
        <w:ind w:left="720"/>
        <w:rPr>
          <w:lang w:eastAsia="es-SV"/>
        </w:rPr>
      </w:pPr>
      <w:hyperlink r:id="rId10" w:tgtFrame="_blank" w:history="1">
        <w:r w:rsidRPr="00E35D37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es-SV"/>
          </w:rPr>
          <w:t>http://www.mag.gob.sv/direccion-general-de-economia-agropecuaria/estadisticas-agropecuarias/anuarios-de-estadisticas-agropecuarias/</w:t>
        </w:r>
      </w:hyperlink>
    </w:p>
    <w:p w:rsidR="00E35D37" w:rsidRDefault="00E35D37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35D37" w:rsidRDefault="00E35D37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Los datos sobre la </w:t>
      </w:r>
      <w:r w:rsidRPr="00C80C1B">
        <w:rPr>
          <w:rFonts w:asciiTheme="minorHAnsi" w:hAnsiTheme="minorHAnsi" w:cstheme="minorHAnsi"/>
          <w:i/>
          <w:color w:val="000099"/>
          <w:sz w:val="22"/>
          <w:szCs w:val="22"/>
        </w:rPr>
        <w:t>evolución de los precios y producción</w:t>
      </w:r>
      <w:r>
        <w:rPr>
          <w:rFonts w:asciiTheme="minorHAnsi" w:hAnsiTheme="minorHAnsi" w:cstheme="minorHAnsi"/>
          <w:sz w:val="22"/>
          <w:szCs w:val="22"/>
        </w:rPr>
        <w:t>, su persona podrá hacer esos análisis con la información que descargue en los link arriba mencionados.</w:t>
      </w:r>
    </w:p>
    <w:p w:rsidR="00E35D37" w:rsidRDefault="00E35D37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80C1B" w:rsidRPr="0057690D" w:rsidRDefault="00C80C1B" w:rsidP="00C80C1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  <w:sz w:val="22"/>
          <w:szCs w:val="22"/>
        </w:rPr>
      </w:pPr>
      <w:r w:rsidRPr="00C80C1B">
        <w:rPr>
          <w:rFonts w:asciiTheme="minorHAnsi" w:hAnsiTheme="minorHAnsi" w:cstheme="minorHAnsi"/>
          <w:sz w:val="22"/>
          <w:szCs w:val="22"/>
        </w:rPr>
        <w:t>La información sobre</w:t>
      </w:r>
      <w:r w:rsidRPr="00C80C1B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PRECIOS DE ALGODÓN, no se registra en el MAG</w:t>
      </w:r>
      <w:r w:rsidRPr="00C80C1B">
        <w:rPr>
          <w:rFonts w:asciiTheme="minorHAnsi" w:eastAsia="Arial Unicode MS" w:hAnsiTheme="minorHAnsi" w:cstheme="minorHAnsi"/>
          <w:color w:val="003399"/>
          <w:sz w:val="22"/>
          <w:szCs w:val="22"/>
        </w:rPr>
        <w:t>,</w:t>
      </w:r>
      <w:r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p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or lo anteriormente expuesto, analizado lo solicitado y que la Ley de Acceso a la Información Pública dispone en el art. 73 que nos encontramos ante un caso de información </w:t>
      </w:r>
      <w:r w:rsidRPr="003D0F2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INEXISTENTE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>, lo que impide brindar lo requerido por el peticionario, esta dependencia resuelve:</w:t>
      </w:r>
    </w:p>
    <w:p w:rsidR="00C80C1B" w:rsidRPr="0057690D" w:rsidRDefault="00C80C1B" w:rsidP="00C80C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C80C1B" w:rsidRPr="00C80C1B" w:rsidRDefault="00C80C1B" w:rsidP="00C80C1B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1B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NO ENTREGAR LA INFORMACIÓN SOLICITADA POR INEXISTENCIA </w:t>
      </w:r>
    </w:p>
    <w:p w:rsidR="00C80C1B" w:rsidRDefault="00C80C1B" w:rsidP="00E35D3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80C1B" w:rsidRPr="00C80C1B" w:rsidRDefault="00C80C1B" w:rsidP="00C80C1B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C80C1B">
        <w:rPr>
          <w:rFonts w:asciiTheme="minorHAnsi" w:hAnsiTheme="minorHAnsi" w:cstheme="minorHAnsi"/>
          <w:sz w:val="22"/>
          <w:szCs w:val="22"/>
        </w:rPr>
        <w:t xml:space="preserve">Con relación a los </w:t>
      </w:r>
      <w:r w:rsidRPr="003D0F2E">
        <w:rPr>
          <w:rFonts w:asciiTheme="minorHAnsi" w:hAnsiTheme="minorHAnsi" w:cstheme="minorHAnsi"/>
          <w:color w:val="000099"/>
          <w:sz w:val="22"/>
          <w:szCs w:val="22"/>
        </w:rPr>
        <w:t>PRECIOS DEL CAFÉ</w:t>
      </w:r>
      <w:r w:rsidRPr="00C80C1B">
        <w:rPr>
          <w:rFonts w:asciiTheme="minorHAnsi" w:hAnsiTheme="minorHAnsi" w:cstheme="minorHAnsi"/>
          <w:sz w:val="22"/>
          <w:szCs w:val="22"/>
        </w:rPr>
        <w:t xml:space="preserve">, al respecto, analizado el fondo de lo solicitado y con base a lo establecido en los arts. 65, 68 inc. 2o. y 72 de la Ley de Acceso a la Información Pública y el art. </w:t>
      </w:r>
      <w:r w:rsidRPr="00C80C1B">
        <w:rPr>
          <w:rFonts w:asciiTheme="minorHAnsi" w:hAnsiTheme="minorHAnsi" w:cstheme="minorHAnsi"/>
          <w:sz w:val="22"/>
          <w:szCs w:val="22"/>
        </w:rPr>
        <w:lastRenderedPageBreak/>
        <w:t>49 del Reglamento de dicha Ley que la información solicitada no es de la competencia de esta dependencia. Por la tanto se determina y resuelve:</w:t>
      </w:r>
    </w:p>
    <w:p w:rsidR="00C80C1B" w:rsidRPr="00C80C1B" w:rsidRDefault="00C80C1B" w:rsidP="00C80C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C80C1B" w:rsidRPr="00C80C1B" w:rsidRDefault="00C80C1B" w:rsidP="003D0F2E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1B">
        <w:rPr>
          <w:rFonts w:asciiTheme="minorHAnsi" w:hAnsiTheme="minorHAnsi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</w:p>
    <w:p w:rsidR="00C80C1B" w:rsidRPr="00C80C1B" w:rsidRDefault="00C80C1B" w:rsidP="00C80C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80C1B" w:rsidRPr="00C80C1B" w:rsidRDefault="00C80C1B" w:rsidP="00C80C1B">
      <w:pPr>
        <w:pStyle w:val="Ttulo3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80C1B">
        <w:rPr>
          <w:rFonts w:asciiTheme="minorHAnsi" w:hAnsiTheme="minorHAnsi" w:cstheme="minorHAnsi"/>
          <w:b w:val="0"/>
          <w:sz w:val="22"/>
          <w:szCs w:val="22"/>
        </w:rPr>
        <w:t xml:space="preserve">Su solicitud deberá ser dirigida a la siguiente institución por ser la facultada para conocer solicitudes de dicha índole: </w:t>
      </w:r>
      <w:r w:rsidRPr="00C80C1B">
        <w:rPr>
          <w:rFonts w:asciiTheme="minorHAnsi" w:hAnsiTheme="minorHAnsi" w:cstheme="minorHAnsi"/>
          <w:sz w:val="22"/>
          <w:szCs w:val="22"/>
        </w:rPr>
        <w:t>Consejo Salvadoreño del Café,</w:t>
      </w:r>
      <w:r w:rsidRPr="00C80C1B">
        <w:rPr>
          <w:rFonts w:asciiTheme="minorHAnsi" w:hAnsiTheme="minorHAnsi" w:cstheme="minorHAnsi"/>
          <w:b w:val="0"/>
          <w:sz w:val="22"/>
          <w:szCs w:val="22"/>
        </w:rPr>
        <w:t xml:space="preserve"> contactar con la Oficial de Información Lic. Elizabeth Eugenia Morales, al telf.</w:t>
      </w:r>
      <w:r w:rsidRPr="00C80C1B">
        <w:rPr>
          <w:rFonts w:asciiTheme="minorHAnsi" w:hAnsiTheme="minorHAnsi" w:cstheme="minorHAnsi"/>
          <w:color w:val="000099"/>
          <w:sz w:val="22"/>
          <w:szCs w:val="22"/>
        </w:rPr>
        <w:t>: (503) 2505-6602</w:t>
      </w:r>
      <w:r w:rsidRPr="00C80C1B">
        <w:rPr>
          <w:rFonts w:asciiTheme="minorHAnsi" w:hAnsiTheme="minorHAnsi" w:cstheme="minorHAnsi"/>
          <w:b w:val="0"/>
          <w:color w:val="000099"/>
          <w:sz w:val="22"/>
          <w:szCs w:val="22"/>
        </w:rPr>
        <w:t xml:space="preserve"> </w:t>
      </w:r>
      <w:r w:rsidRPr="00C80C1B">
        <w:rPr>
          <w:rFonts w:asciiTheme="minorHAnsi" w:hAnsiTheme="minorHAnsi" w:cstheme="minorHAnsi"/>
          <w:b w:val="0"/>
          <w:sz w:val="22"/>
          <w:szCs w:val="22"/>
        </w:rPr>
        <w:t xml:space="preserve">y al correo electrónico: </w:t>
      </w:r>
      <w:hyperlink r:id="rId11" w:history="1">
        <w:r w:rsidRPr="00C80C1B">
          <w:rPr>
            <w:rStyle w:val="Hipervnculo"/>
            <w:rFonts w:asciiTheme="minorHAnsi" w:hAnsiTheme="minorHAnsi" w:cstheme="minorHAnsi"/>
            <w:sz w:val="22"/>
            <w:szCs w:val="22"/>
          </w:rPr>
          <w:t>emorales@csc.gob.sv</w:t>
        </w:r>
      </w:hyperlink>
      <w:r w:rsidRPr="00C80C1B">
        <w:rPr>
          <w:rFonts w:asciiTheme="minorHAnsi" w:hAnsiTheme="minorHAnsi" w:cstheme="minorHAnsi"/>
          <w:color w:val="000099"/>
          <w:sz w:val="22"/>
          <w:szCs w:val="22"/>
        </w:rPr>
        <w:t xml:space="preserve">. </w:t>
      </w:r>
      <w:r w:rsidRPr="00C80C1B">
        <w:rPr>
          <w:rFonts w:asciiTheme="minorHAnsi" w:hAnsiTheme="minorHAnsi" w:cstheme="minorHAnsi"/>
          <w:b w:val="0"/>
          <w:sz w:val="22"/>
          <w:szCs w:val="22"/>
        </w:rPr>
        <w:t>Dirección: Final 1ª Av. Norte y Av. Manuel Gallardo, Santa Tecla, La Libertad, El Salvador, C.A.</w:t>
      </w:r>
    </w:p>
    <w:p w:rsidR="00670326" w:rsidRPr="00C80C1B" w:rsidRDefault="0067032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C80C1B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1B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Pr="00C80C1B" w:rsidRDefault="00F85A42" w:rsidP="00F85A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6685" w:rsidRPr="00C80C1B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F6C4B" w:rsidRPr="00C80C1B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C80C1B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1B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1B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12"/>
      <w:footerReference w:type="even" r:id="rId13"/>
      <w:footerReference w:type="default" r:id="rId14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50" w:rsidRDefault="00793A50">
      <w:r>
        <w:separator/>
      </w:r>
    </w:p>
  </w:endnote>
  <w:endnote w:type="continuationSeparator" w:id="0">
    <w:p w:rsidR="00793A50" w:rsidRDefault="0079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619A7" w:rsidRPr="000619A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619A7" w:rsidRPr="000619A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619A7" w:rsidRPr="000619A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619A7" w:rsidRPr="000619A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50" w:rsidRDefault="00793A50">
      <w:r>
        <w:separator/>
      </w:r>
    </w:p>
  </w:footnote>
  <w:footnote w:type="continuationSeparator" w:id="0">
    <w:p w:rsidR="00793A50" w:rsidRDefault="0079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07D34"/>
    <w:multiLevelType w:val="hybridMultilevel"/>
    <w:tmpl w:val="335A5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54474"/>
    <w:multiLevelType w:val="hybridMultilevel"/>
    <w:tmpl w:val="AFDC34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2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1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2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4"/>
  </w:num>
  <w:num w:numId="22">
    <w:abstractNumId w:val="30"/>
  </w:num>
  <w:num w:numId="23">
    <w:abstractNumId w:val="13"/>
  </w:num>
  <w:num w:numId="24">
    <w:abstractNumId w:val="37"/>
  </w:num>
  <w:num w:numId="25">
    <w:abstractNumId w:val="9"/>
  </w:num>
  <w:num w:numId="26">
    <w:abstractNumId w:val="39"/>
  </w:num>
  <w:num w:numId="27">
    <w:abstractNumId w:val="24"/>
  </w:num>
  <w:num w:numId="28">
    <w:abstractNumId w:val="38"/>
  </w:num>
  <w:num w:numId="29">
    <w:abstractNumId w:val="10"/>
  </w:num>
  <w:num w:numId="30">
    <w:abstractNumId w:val="33"/>
  </w:num>
  <w:num w:numId="31">
    <w:abstractNumId w:val="17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1"/>
  </w:num>
  <w:num w:numId="39">
    <w:abstractNumId w:val="43"/>
  </w:num>
  <w:num w:numId="40">
    <w:abstractNumId w:val="40"/>
  </w:num>
  <w:num w:numId="41">
    <w:abstractNumId w:val="44"/>
  </w:num>
  <w:num w:numId="42">
    <w:abstractNumId w:val="8"/>
  </w:num>
  <w:num w:numId="43">
    <w:abstractNumId w:val="29"/>
  </w:num>
  <w:num w:numId="44">
    <w:abstractNumId w:val="14"/>
  </w:num>
  <w:num w:numId="45">
    <w:abstractNumId w:val="15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19A7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B25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170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77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5EE7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0F2E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5CE7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6769E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C74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A50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1B5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7BD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2624A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0C1B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5D37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1F61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6DC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orales@csc.gob.s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g.gob.sv/direccion-general-de-economia-agropecuaria/estadisticas-agropecuarias/anuarios-de-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retrospectiva-mensual-de-precios-de-productos-agropecuario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8A75-5048-43B0-B859-A4763424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3794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2018-06-25T20:11:00Z</cp:lastPrinted>
  <dcterms:created xsi:type="dcterms:W3CDTF">2018-06-25T20:11:00Z</dcterms:created>
  <dcterms:modified xsi:type="dcterms:W3CDTF">2018-06-25T20:12:00Z</dcterms:modified>
</cp:coreProperties>
</file>