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4D10" w:rsidRDefault="008E4D10" w:rsidP="008E4D1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0B105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2A1F8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u w:val="single"/>
          <w:lang w:eastAsia="en-US"/>
        </w:rPr>
        <w:t>pág. 1</w:t>
      </w:r>
      <w:r w:rsidRPr="000B105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8848CD" w:rsidRPr="009E34D9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bookmarkStart w:id="0" w:name="_GoBack"/>
      <w:bookmarkEnd w:id="0"/>
      <w:r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132F01"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CA65E4"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3</w:t>
      </w:r>
      <w:r w:rsidR="009E34D9"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4</w:t>
      </w:r>
      <w:r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9E34D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0E4185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</w:p>
    <w:p w:rsidR="00EE2A0E" w:rsidRPr="00AD32F5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32F5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AD32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E34D9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nueve </w:t>
      </w:r>
      <w:r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horas </w:t>
      </w:r>
      <w:r w:rsidR="00C27A9E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</w:t>
      </w:r>
      <w:r w:rsidR="006009D1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treinta</w:t>
      </w:r>
      <w:r w:rsidR="00CA65E4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C27A9E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minutos </w:t>
      </w:r>
      <w:r w:rsidR="00AF1A5C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</w:t>
      </w:r>
      <w:r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día </w:t>
      </w:r>
      <w:r w:rsidR="00813BC1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veinticinco</w:t>
      </w:r>
      <w:r w:rsidR="000E4185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B4383C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de </w:t>
      </w:r>
      <w:r w:rsidR="000E4185"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junio</w:t>
      </w:r>
      <w:r w:rsidR="00B4383C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9E34D9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6009D1"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CA65E4"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</w:t>
      </w:r>
      <w:r w:rsid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</w:t>
      </w:r>
      <w:r w:rsidR="00FA5A1E"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9E34D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9E34D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D25AE" w:rsidRPr="00AD32F5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9E34D9" w:rsidRDefault="009E34D9" w:rsidP="009E34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Información sobre algún brote de Influencia Aviar en el país durante los años de 1999 a la</w:t>
      </w:r>
      <w:r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actualidad sobre:</w:t>
      </w:r>
    </w:p>
    <w:p w:rsidR="009E34D9" w:rsidRPr="009E34D9" w:rsidRDefault="009E34D9" w:rsidP="009E34D9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Medidas que adoptadas en el pasado y que se mantienen en la actualidad para</w:t>
      </w:r>
      <w:r w:rsidRPr="009E34D9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contrarrestar la enfermedad</w:t>
      </w:r>
    </w:p>
    <w:p w:rsidR="000E4185" w:rsidRPr="009E34D9" w:rsidRDefault="009E34D9" w:rsidP="009E34D9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</w:pPr>
      <w:r w:rsidRPr="009E34D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Número de casos registrados y clasificados por Departamento</w:t>
      </w:r>
    </w:p>
    <w:p w:rsidR="00CA65E4" w:rsidRPr="00AD32F5" w:rsidRDefault="00CA65E4" w:rsidP="00CA65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rPr>
          <w:rFonts w:asciiTheme="minorHAnsi" w:eastAsia="Arial Unicode MS" w:hAnsiTheme="minorHAnsi" w:cstheme="minorHAnsi"/>
          <w:color w:val="000099"/>
          <w:sz w:val="16"/>
          <w:szCs w:val="22"/>
          <w:lang w:val="es-SV"/>
        </w:rPr>
      </w:pPr>
    </w:p>
    <w:p w:rsidR="00C27A9E" w:rsidRPr="00AD32F5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6"/>
          <w:szCs w:val="22"/>
        </w:rPr>
      </w:pPr>
      <w:r w:rsidRPr="00AD32F5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AD32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A1E2D">
        <w:rPr>
          <w:rFonts w:asciiTheme="minorHAnsi" w:eastAsia="Arial Unicode MS" w:hAnsiTheme="minorHAnsi" w:cstheme="minorHAnsi"/>
          <w:sz w:val="22"/>
          <w:szCs w:val="22"/>
        </w:rPr>
        <w:t>----</w:t>
      </w:r>
      <w:r w:rsidR="006009D1" w:rsidRPr="00AD32F5">
        <w:rPr>
          <w:rFonts w:asciiTheme="minorHAnsi" w:eastAsia="Arial Unicode MS" w:hAnsiTheme="minorHAnsi" w:cstheme="minorHAnsi"/>
          <w:sz w:val="22"/>
          <w:szCs w:val="22"/>
        </w:rPr>
        <w:t>,</w:t>
      </w:r>
      <w:r w:rsidR="006009D1" w:rsidRPr="00AD32F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EE2A0E" w:rsidRPr="00AD32F5">
        <w:rPr>
          <w:rFonts w:asciiTheme="minorHAnsi" w:eastAsia="Arial Unicode MS" w:hAnsiTheme="minorHAnsi" w:cstheme="minorHAnsi"/>
          <w:sz w:val="22"/>
          <w:szCs w:val="22"/>
        </w:rPr>
        <w:t>resuelve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8848CD" w:rsidRPr="009E34D9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9E34D9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B4383C" w:rsidRPr="00AD32F5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16"/>
          <w:szCs w:val="22"/>
        </w:rPr>
      </w:pPr>
    </w:p>
    <w:p w:rsidR="009A0A98" w:rsidRPr="00AD32F5" w:rsidRDefault="00132F01" w:rsidP="00CA65E4">
      <w:pPr>
        <w:jc w:val="both"/>
        <w:rPr>
          <w:rFonts w:asciiTheme="minorHAnsi" w:hAnsiTheme="minorHAnsi" w:cstheme="minorHAnsi"/>
          <w:sz w:val="22"/>
          <w:szCs w:val="22"/>
        </w:rPr>
      </w:pPr>
      <w:r w:rsidRPr="00AD32F5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CA65E4" w:rsidRPr="00AD32F5">
        <w:rPr>
          <w:rFonts w:asciiTheme="minorHAnsi" w:hAnsiTheme="minorHAnsi" w:cstheme="minorHAnsi"/>
          <w:sz w:val="22"/>
          <w:szCs w:val="22"/>
        </w:rPr>
        <w:t>la Dirección General de Ganadería</w:t>
      </w:r>
      <w:r w:rsidR="005F2E23">
        <w:rPr>
          <w:rFonts w:asciiTheme="minorHAnsi" w:hAnsiTheme="minorHAnsi" w:cstheme="minorHAnsi"/>
          <w:sz w:val="22"/>
          <w:szCs w:val="22"/>
        </w:rPr>
        <w:t>-DGG</w:t>
      </w:r>
      <w:r w:rsidR="00CA65E4" w:rsidRPr="00AD32F5">
        <w:rPr>
          <w:rFonts w:asciiTheme="minorHAnsi" w:hAnsiTheme="minorHAnsi" w:cstheme="minorHAnsi"/>
          <w:sz w:val="22"/>
          <w:szCs w:val="22"/>
        </w:rPr>
        <w:t xml:space="preserve"> de este ministerio</w:t>
      </w:r>
      <w:r w:rsidR="005F2E23">
        <w:rPr>
          <w:rFonts w:asciiTheme="minorHAnsi" w:hAnsiTheme="minorHAnsi" w:cstheme="minorHAnsi"/>
          <w:sz w:val="22"/>
          <w:szCs w:val="22"/>
        </w:rPr>
        <w:t>,</w:t>
      </w:r>
      <w:r w:rsidR="00CA65E4" w:rsidRPr="00AD32F5">
        <w:rPr>
          <w:rFonts w:asciiTheme="minorHAnsi" w:hAnsiTheme="minorHAnsi" w:cstheme="minorHAnsi"/>
          <w:sz w:val="22"/>
          <w:szCs w:val="22"/>
        </w:rPr>
        <w:t xml:space="preserve"> respondió sobre el particular:</w:t>
      </w:r>
    </w:p>
    <w:p w:rsidR="009E34D9" w:rsidRDefault="009E34D9" w:rsidP="009E34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</w:p>
    <w:p w:rsidR="009E34D9" w:rsidRPr="00813BC1" w:rsidRDefault="009E34D9" w:rsidP="009E34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  <w:lang w:eastAsia="es-SV"/>
        </w:rPr>
      </w:pPr>
      <w:r w:rsidRPr="00813BC1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Medidas que adoptadas en el pasado y que se mantienen en la actualidad para</w:t>
      </w:r>
      <w:r w:rsidRPr="00813BC1">
        <w:rPr>
          <w:rFonts w:asciiTheme="minorHAnsi" w:hAnsiTheme="minorHAnsi" w:cstheme="minorHAnsi"/>
          <w:b/>
          <w:color w:val="000099"/>
          <w:sz w:val="22"/>
          <w:szCs w:val="22"/>
          <w:lang w:eastAsia="es-SV"/>
        </w:rPr>
        <w:t xml:space="preserve"> </w:t>
      </w:r>
      <w:r w:rsidRPr="00813BC1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contrarrestar la enfermedad</w:t>
      </w:r>
    </w:p>
    <w:p w:rsidR="005F2E23" w:rsidRDefault="005F2E23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eastAsia="es-SV"/>
        </w:rPr>
      </w:pPr>
    </w:p>
    <w:p w:rsidR="00B64E61" w:rsidRPr="00B64E61" w:rsidRDefault="001974E0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eastAsia="es-SV"/>
        </w:rPr>
      </w:pP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Durante el brote del 2001, en cada unidad productiva se destacó un médico veterinario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encargado, se </w:t>
      </w:r>
      <w:r w:rsidR="00B64E61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cuarentenar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on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las granja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s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diagnosticadas durante 60 días, permaneciendo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en el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lugar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y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todo el tiempo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,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los médicos veterinarios en las instalaciones. En las granjas con finalidad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de engorde, en el momento de llegar a término el pollo, se sacrificó en el lugar, improvisando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rastros, incinerando plumas, carcasas y otros. La carnada recibió un tratamiento térmico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principalmente, todas las instalaciones fueron </w:t>
      </w:r>
      <w:r w:rsidR="00B64E61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desinfe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ctadas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con una combinación de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permanganato de potasio y formaldehido.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</w:p>
    <w:p w:rsidR="00813BC1" w:rsidRPr="00813BC1" w:rsidRDefault="00813BC1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eastAsia="es-SV"/>
        </w:rPr>
      </w:pPr>
    </w:p>
    <w:p w:rsidR="001974E0" w:rsidRDefault="001974E0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eastAsia="es-SV"/>
        </w:rPr>
      </w:pP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En el caso de las granjas de postura se tomó la decisión de </w:t>
      </w:r>
      <w:r w:rsidR="00B64E61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desinfe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cta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r todo el huevo que salía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para venta, usando el mismo producto, de igual forma se improvisaron rastros en las granjas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para así sacrificar el ave de descarte en el lugar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,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y darle el tratamiento adecuado antes de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salir a la venta.</w:t>
      </w:r>
    </w:p>
    <w:p w:rsidR="00813BC1" w:rsidRDefault="00813BC1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eastAsia="es-SV"/>
        </w:rPr>
      </w:pPr>
    </w:p>
    <w:p w:rsidR="001974E0" w:rsidRDefault="00B64E61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eastAsia="es-SV"/>
        </w:rPr>
      </w:pPr>
      <w:r>
        <w:rPr>
          <w:rFonts w:asciiTheme="minorHAnsi" w:hAnsiTheme="minorHAnsi" w:cstheme="minorHAnsi"/>
          <w:color w:val="000000"/>
          <w:sz w:val="23"/>
          <w:szCs w:val="24"/>
          <w:lang w:eastAsia="es-SV"/>
        </w:rPr>
        <w:lastRenderedPageBreak/>
        <w:t>Simultáneamente o</w:t>
      </w:r>
      <w:proofErr w:type="spellStart"/>
      <w:r w:rsidR="001974E0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tro</w:t>
      </w:r>
      <w:proofErr w:type="spellEnd"/>
      <w:r w:rsidR="001974E0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grupo de veterinarios continuaban </w:t>
      </w:r>
      <w:r w:rsidR="00813BC1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monitoreando</w:t>
      </w:r>
      <w:r w:rsidR="001974E0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aves a nivel nacional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="001974E0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para detectar otros posibles brotes, pero debido a la detección oportuna y el manejo de los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="001974E0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brotes encontrados la enfermedad no se propago.</w:t>
      </w:r>
    </w:p>
    <w:p w:rsidR="00B64E61" w:rsidRPr="00B64E61" w:rsidRDefault="00B64E61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eastAsia="es-SV"/>
        </w:rPr>
      </w:pPr>
    </w:p>
    <w:p w:rsidR="009E34D9" w:rsidRPr="00B64E61" w:rsidRDefault="001974E0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A raíz de esto se ingresó la vacuna contra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la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Influenza Aviar, oleosa para ave de postura y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recombinante para pollo de engorde, dicha medida aún se mantiene, si bien es cierto la vacuna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es de uso opcional, su venta está restringida y únicamente se han autorizado algunas empresas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para su comercialización las cuales tienen la obligación de notificar el destino y cantidad de venta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realizada</w:t>
      </w:r>
      <w:r w:rsidR="00B64E6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.</w:t>
      </w:r>
    </w:p>
    <w:p w:rsidR="009E34D9" w:rsidRPr="009E34D9" w:rsidRDefault="009E34D9" w:rsidP="009E34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</w:p>
    <w:p w:rsidR="009E34D9" w:rsidRPr="00813BC1" w:rsidRDefault="009E34D9" w:rsidP="009E34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  <w:lang w:eastAsia="es-SV"/>
        </w:rPr>
      </w:pPr>
      <w:r w:rsidRPr="00813BC1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Número de casos registrados y clasificados por Departamento</w:t>
      </w:r>
      <w:r w:rsidR="00813BC1">
        <w:rPr>
          <w:rFonts w:asciiTheme="minorHAnsi" w:hAnsiTheme="minorHAnsi" w:cstheme="minorHAnsi"/>
          <w:b/>
          <w:color w:val="000099"/>
          <w:sz w:val="22"/>
          <w:szCs w:val="22"/>
          <w:lang w:eastAsia="es-SV"/>
        </w:rPr>
        <w:t>:</w:t>
      </w:r>
    </w:p>
    <w:p w:rsidR="001974E0" w:rsidRPr="00813BC1" w:rsidRDefault="001974E0" w:rsidP="00813BC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</w:pP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En febrero de 2001 se </w:t>
      </w:r>
      <w:r w:rsidR="002D37CB"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registr</w:t>
      </w:r>
      <w:r w:rsidR="002D37CB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aron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 un total de 7 casos en 3 departamentos del país,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(Sonsonate, </w:t>
      </w:r>
      <w:r w:rsidR="002D37CB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L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a Libertad y San Salvador). </w:t>
      </w:r>
      <w:r w:rsidR="0072609E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Es importante mencionar que el detalle de cuantos casos por departamento no se registraban en esos años</w:t>
      </w:r>
      <w:r w:rsidR="00DA7128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>, por esa razón no se proporciona dicho dato</w:t>
      </w:r>
      <w:r w:rsidR="0072609E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.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 xml:space="preserve">A partir del </w:t>
      </w:r>
      <w:r w:rsidR="002A6353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año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2002 no se ha vuelto a evidenciar la</w:t>
      </w:r>
      <w:r w:rsidR="00813BC1">
        <w:rPr>
          <w:rFonts w:asciiTheme="minorHAnsi" w:hAnsiTheme="minorHAnsi" w:cstheme="minorHAnsi"/>
          <w:color w:val="000000"/>
          <w:sz w:val="23"/>
          <w:szCs w:val="24"/>
          <w:lang w:eastAsia="es-SV"/>
        </w:rPr>
        <w:t xml:space="preserve"> </w:t>
      </w:r>
      <w:r w:rsidRPr="00813BC1">
        <w:rPr>
          <w:rFonts w:asciiTheme="minorHAnsi" w:hAnsiTheme="minorHAnsi" w:cstheme="minorHAnsi"/>
          <w:color w:val="000000"/>
          <w:sz w:val="23"/>
          <w:szCs w:val="24"/>
          <w:lang w:val="x-none" w:eastAsia="es-SV"/>
        </w:rPr>
        <w:t>circulación viral en El Salvador.</w:t>
      </w:r>
    </w:p>
    <w:p w:rsidR="00382889" w:rsidRPr="00AD32F5" w:rsidRDefault="00382889" w:rsidP="00132F0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F1A5C" w:rsidRPr="00AD32F5" w:rsidRDefault="00B4383C" w:rsidP="00132F01">
      <w:pPr>
        <w:jc w:val="both"/>
        <w:rPr>
          <w:rFonts w:asciiTheme="minorHAnsi" w:hAnsiTheme="minorHAnsi" w:cstheme="minorHAnsi"/>
          <w:sz w:val="22"/>
          <w:szCs w:val="22"/>
        </w:rPr>
      </w:pPr>
      <w:r w:rsidRPr="00AD32F5">
        <w:rPr>
          <w:rFonts w:asciiTheme="minorHAnsi" w:hAnsiTheme="minorHAnsi" w:cstheme="minorHAnsi"/>
          <w:sz w:val="22"/>
          <w:szCs w:val="22"/>
        </w:rPr>
        <w:t>NOTIFIQUESE</w:t>
      </w:r>
    </w:p>
    <w:p w:rsidR="00AD32F5" w:rsidRPr="00AD32F5" w:rsidRDefault="00AD32F5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0A98" w:rsidRPr="00AD32F5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9A0A98" w:rsidRPr="00AD32F5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8710A8" w:rsidRDefault="008848CD" w:rsidP="008710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8710A8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Ana Patricia Sánchez de Cruz</w:t>
      </w:r>
    </w:p>
    <w:p w:rsidR="008848CD" w:rsidRPr="008710A8" w:rsidRDefault="008848CD" w:rsidP="008710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8710A8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Oficial de Información MAG OIR</w:t>
      </w:r>
    </w:p>
    <w:sectPr w:rsidR="008848CD" w:rsidRPr="008710A8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75" w:rsidRDefault="00DA2475">
      <w:r>
        <w:separator/>
      </w:r>
    </w:p>
  </w:endnote>
  <w:endnote w:type="continuationSeparator" w:id="0">
    <w:p w:rsidR="00DA2475" w:rsidRDefault="00D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4D10" w:rsidRPr="008E4D1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DA2475">
                            <w:fldChar w:fldCharType="begin"/>
                          </w:r>
                          <w:r w:rsidR="00DA2475">
                            <w:instrText>NUMPAGES  \* Arabic  \* MERGEFORMAT</w:instrText>
                          </w:r>
                          <w:r w:rsidR="00DA2475">
                            <w:fldChar w:fldCharType="separate"/>
                          </w:r>
                          <w:r w:rsidR="008E4D10" w:rsidRPr="008E4D1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DA247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E4D10" w:rsidRPr="008E4D1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DA2475">
                      <w:fldChar w:fldCharType="begin"/>
                    </w:r>
                    <w:r w:rsidR="00DA2475">
                      <w:instrText>NUMPAGES  \* Arabic  \* MERGEFORMAT</w:instrText>
                    </w:r>
                    <w:r w:rsidR="00DA2475">
                      <w:fldChar w:fldCharType="separate"/>
                    </w:r>
                    <w:r w:rsidR="008E4D10" w:rsidRPr="008E4D1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DA247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75" w:rsidRDefault="00DA2475">
      <w:r>
        <w:separator/>
      </w:r>
    </w:p>
  </w:footnote>
  <w:footnote w:type="continuationSeparator" w:id="0">
    <w:p w:rsidR="00DA2475" w:rsidRDefault="00DA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1E2D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B71B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4D10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4E61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2475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CCD0-5F54-4046-947D-708A3483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3618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2018-06-25T17:56:00Z</cp:lastPrinted>
  <dcterms:created xsi:type="dcterms:W3CDTF">2018-06-25T17:56:00Z</dcterms:created>
  <dcterms:modified xsi:type="dcterms:W3CDTF">2018-06-25T17:57:00Z</dcterms:modified>
</cp:coreProperties>
</file>