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5EC7" w:rsidRPr="00883D41" w:rsidRDefault="00AD5EC7" w:rsidP="00AD5EC7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0677B2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</w:pPr>
      <w:r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>RESOLUCIÓN EN RESPUESTA A SOLICITUD DE INFORMACIÓN</w:t>
      </w:r>
      <w:r w:rsidR="007375B6"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 xml:space="preserve"> </w:t>
      </w:r>
      <w:r w:rsidR="00C42068"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 xml:space="preserve">MAG OIR N° </w:t>
      </w:r>
      <w:r w:rsidR="00F56A56"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>1</w:t>
      </w:r>
      <w:r w:rsid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>22</w:t>
      </w:r>
      <w:r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>-201</w:t>
      </w:r>
      <w:r w:rsidR="00C42068" w:rsidRPr="000677B2">
        <w:rPr>
          <w:rFonts w:asciiTheme="minorHAnsi" w:eastAsia="Arial Unicode MS" w:hAnsiTheme="minorHAnsi" w:cstheme="minorHAnsi"/>
          <w:b/>
          <w:color w:val="003399"/>
          <w:sz w:val="24"/>
          <w:szCs w:val="22"/>
        </w:rPr>
        <w:t>8</w:t>
      </w:r>
    </w:p>
    <w:p w:rsidR="000677B2" w:rsidRPr="009B329B" w:rsidRDefault="000677B2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9B329B" w:rsidRDefault="008848CD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C70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catorce </w:t>
      </w:r>
      <w:r w:rsidR="00F56A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>h</w:t>
      </w:r>
      <w:r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oras </w:t>
      </w:r>
      <w:r w:rsidR="000677B2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con treinta minutos </w:t>
      </w:r>
      <w:r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del día </w:t>
      </w:r>
      <w:r w:rsidR="005C70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>veintitrés</w:t>
      </w:r>
      <w:r w:rsidR="00F56A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220D93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</w:t>
      </w:r>
      <w:r w:rsidR="00F56A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>mayo</w:t>
      </w:r>
      <w:r w:rsidR="00FA5A1E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2E4291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>de dos mil dieciocho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MAG OIR</w:t>
      </w:r>
      <w:r w:rsidR="00446346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="00C42068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No. </w:t>
      </w:r>
      <w:r w:rsidR="00F56A56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1</w:t>
      </w:r>
      <w:r w:rsidR="000677B2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22</w:t>
      </w:r>
      <w:r w:rsidR="00FA5A1E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-201</w:t>
      </w:r>
      <w:r w:rsidR="00C42068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8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F56A56" w:rsidRPr="009B329B" w:rsidRDefault="00F56A56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5C7056" w:rsidRPr="009B329B" w:rsidRDefault="000677B2" w:rsidP="009B329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Metodología y proceso que se desarrolló para seleccionar al ganador de los resultados de la permuta de bienes muebles del MAG, del año 2015-2016</w:t>
      </w: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0677B2" w:rsidRPr="009B329B" w:rsidRDefault="008848CD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D5EC7">
        <w:rPr>
          <w:rFonts w:asciiTheme="minorHAnsi" w:eastAsia="Arial Unicode MS" w:hAnsiTheme="minorHAnsi" w:cstheme="minorHAnsi"/>
          <w:sz w:val="22"/>
          <w:szCs w:val="22"/>
        </w:rPr>
        <w:t>------</w:t>
      </w:r>
      <w:r w:rsidR="00213AD7" w:rsidRPr="009B329B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="0057690D" w:rsidRPr="009B329B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Reglamento; </w:t>
      </w:r>
      <w:r w:rsidR="0057690D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asimismo, que los datos requeridos no se registran en el MAG </w:t>
      </w:r>
      <w:r w:rsidR="00F56A56" w:rsidRPr="009B329B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acuerdo a lo informado por la </w:t>
      </w:r>
      <w:r w:rsidR="000677B2"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Oficina General de Administración-OGA, </w:t>
      </w:r>
      <w:r w:rsidR="000677B2" w:rsidRPr="009B329B">
        <w:rPr>
          <w:rFonts w:asciiTheme="minorHAnsi" w:eastAsia="Arial Unicode MS" w:hAnsiTheme="minorHAnsi" w:cstheme="minorHAnsi"/>
          <w:sz w:val="22"/>
          <w:szCs w:val="22"/>
        </w:rPr>
        <w:t xml:space="preserve">quien </w:t>
      </w:r>
      <w:r w:rsidR="00111278">
        <w:rPr>
          <w:rFonts w:asciiTheme="minorHAnsi" w:eastAsia="Arial Unicode MS" w:hAnsiTheme="minorHAnsi" w:cstheme="minorHAnsi"/>
          <w:sz w:val="22"/>
          <w:szCs w:val="22"/>
        </w:rPr>
        <w:t xml:space="preserve">expresa </w:t>
      </w:r>
      <w:r w:rsidR="000677B2" w:rsidRPr="009B329B">
        <w:rPr>
          <w:rFonts w:asciiTheme="minorHAnsi" w:eastAsia="Arial Unicode MS" w:hAnsiTheme="minorHAnsi" w:cstheme="minorHAnsi"/>
          <w:sz w:val="22"/>
          <w:szCs w:val="22"/>
        </w:rPr>
        <w:t>lo siguiente:</w:t>
      </w: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9B329B" w:rsidRPr="009B329B" w:rsidRDefault="00111278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“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E</w:t>
      </w:r>
      <w:r>
        <w:rPr>
          <w:rFonts w:asciiTheme="minorHAnsi" w:eastAsia="Arial Unicode MS" w:hAnsiTheme="minorHAnsi" w:cstheme="minorHAnsi"/>
          <w:sz w:val="22"/>
          <w:szCs w:val="22"/>
        </w:rPr>
        <w:t>n el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proceso de Permuta 2015-2016 no se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realizó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la fase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de selección del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g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anador,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porque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la Comisión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antes de la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apertura de ofertas emitió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ACTA DE REUNIÓN DE LA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COMISIÓN RESPONSABLE DEL DESARROLLO .DEL PROCESO DE PERMUTA 2016, PARA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DESCARGO DE BIENES EN DESUSO PROPIEDAD DEL MAG, la cual indicaba a la administración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B329B" w:rsidRPr="009B329B">
        <w:rPr>
          <w:rFonts w:asciiTheme="minorHAnsi" w:eastAsia="Arial Unicode MS" w:hAnsiTheme="minorHAnsi" w:cstheme="minorHAnsi"/>
          <w:sz w:val="22"/>
          <w:szCs w:val="22"/>
        </w:rPr>
        <w:t>realizar tres actividades:</w:t>
      </w:r>
    </w:p>
    <w:p w:rsidR="009B329B" w:rsidRPr="009B329B" w:rsidRDefault="009B329B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B329B" w:rsidRPr="009B329B" w:rsidRDefault="009B329B" w:rsidP="009B329B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  <w:lang w:val="es-SV"/>
        </w:rPr>
        <w:t>T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ener</w:t>
      </w:r>
      <w:r w:rsidR="0011127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por no realizadas las actuaciones llevadas a cabo dentro del proceso de permuta de dos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mil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dieciséis, para descargo de bienes en desuso propiedad del MAG, posteriores al nombramiento de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la comisión responsable de su desarrollo, a través del acuerdo ejecutivo número doscientos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noventa y siete en el ramo de Agricultura y Ganadería.</w:t>
      </w:r>
    </w:p>
    <w:p w:rsidR="009B329B" w:rsidRPr="009B329B" w:rsidRDefault="009B329B" w:rsidP="009B329B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B329B" w:rsidRPr="009B329B" w:rsidRDefault="009B329B" w:rsidP="009B329B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>Iniciar un nuevo proceso de permuta, para lo cual se deberá elaborar una propuesta de bases para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el proceso de permuta dos mil dieciséis y presentarla a consideración del señor Ministro de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Agricultura y Ganadería, para su emisión, aprobación y publicación correspondiente</w:t>
      </w:r>
    </w:p>
    <w:p w:rsidR="009B329B" w:rsidRPr="009B329B" w:rsidRDefault="009B329B" w:rsidP="009B329B">
      <w:pPr>
        <w:pStyle w:val="Prrafodelista"/>
        <w:rPr>
          <w:rFonts w:asciiTheme="minorHAnsi" w:eastAsia="Arial Unicode MS" w:hAnsiTheme="minorHAnsi" w:cstheme="minorHAnsi"/>
          <w:sz w:val="22"/>
          <w:szCs w:val="22"/>
        </w:rPr>
      </w:pPr>
    </w:p>
    <w:p w:rsidR="009B329B" w:rsidRPr="009B329B" w:rsidRDefault="009B329B" w:rsidP="009B329B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>Delegar al director de la Oficina General de Administración para que comunique los presentes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acuerdos a las cinco personas naturales que retiraron las bases de permuta dos mil dieciséis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publicadas en dos peri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odos de circulación nacional el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día trec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e de junio de dos mil dieciséis</w:t>
      </w:r>
    </w:p>
    <w:p w:rsidR="009B329B" w:rsidRPr="009B329B" w:rsidRDefault="009B329B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57690D" w:rsidRPr="009B329B" w:rsidRDefault="009B329B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Mediante memorando M/AAF/059/2018 de fecha 9 de abril de 2018, se 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remitió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el Acta certificada por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 esta d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irección, de la cual se remite copia en anexo</w:t>
      </w:r>
      <w:r w:rsidR="00111278">
        <w:rPr>
          <w:rFonts w:asciiTheme="minorHAnsi" w:eastAsia="Arial Unicode MS" w:hAnsiTheme="minorHAnsi" w:cstheme="minorHAnsi"/>
          <w:sz w:val="22"/>
          <w:szCs w:val="22"/>
        </w:rPr>
        <w:t>”</w:t>
      </w:r>
      <w:r w:rsidRPr="00111278">
        <w:rPr>
          <w:rStyle w:val="Refdenotaalfinal"/>
          <w:rFonts w:asciiTheme="minorHAnsi" w:eastAsia="Arial Unicode MS" w:hAnsiTheme="minorHAnsi" w:cstheme="minorHAnsi"/>
          <w:b/>
          <w:color w:val="C00000"/>
          <w:sz w:val="28"/>
          <w:szCs w:val="22"/>
        </w:rPr>
        <w:endnoteReference w:id="1"/>
      </w: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0677B2" w:rsidRPr="009B329B" w:rsidRDefault="000677B2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57690D" w:rsidRPr="009B329B" w:rsidRDefault="0057690D" w:rsidP="009B329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INEXISTENTE</w:t>
      </w:r>
      <w:r w:rsidRPr="009B329B">
        <w:rPr>
          <w:rFonts w:asciiTheme="minorHAnsi" w:eastAsia="Arial Unicode MS" w:hAnsiTheme="minorHAnsi" w:cstheme="minorHAnsi"/>
          <w:sz w:val="22"/>
          <w:szCs w:val="22"/>
        </w:rPr>
        <w:t>, lo que impide brindar lo requerido por el peticionario, esta dependencia resuelve:</w:t>
      </w:r>
    </w:p>
    <w:p w:rsidR="0057690D" w:rsidRPr="009B329B" w:rsidRDefault="0057690D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57690D" w:rsidRPr="009B329B" w:rsidRDefault="0057690D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NO ENTREGAR LA INFORMACIÓN SOLICITADA POR INEXISTENCIA </w:t>
      </w:r>
    </w:p>
    <w:p w:rsidR="007A6016" w:rsidRDefault="007A6016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:rsidR="00111278" w:rsidRPr="009B329B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:rsidR="0031693A" w:rsidRPr="009B329B" w:rsidRDefault="008848CD" w:rsidP="009B329B">
      <w:pPr>
        <w:jc w:val="both"/>
        <w:rPr>
          <w:rFonts w:asciiTheme="minorHAnsi" w:hAnsiTheme="minorHAnsi" w:cstheme="minorHAnsi"/>
          <w:sz w:val="22"/>
          <w:szCs w:val="22"/>
        </w:rPr>
      </w:pPr>
      <w:r w:rsidRPr="009B329B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Default="007A6016" w:rsidP="009B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1278" w:rsidRDefault="00111278" w:rsidP="009B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1278" w:rsidRPr="009B329B" w:rsidRDefault="00111278" w:rsidP="009B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690D" w:rsidRPr="009B329B" w:rsidRDefault="0057690D" w:rsidP="009B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016" w:rsidRPr="009B329B" w:rsidRDefault="008848CD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Ana Patricia Sánchez de Cruz</w:t>
      </w:r>
    </w:p>
    <w:p w:rsidR="008848CD" w:rsidRDefault="008848CD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9B329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Oficial de Información MAG OIR</w:t>
      </w:r>
    </w:p>
    <w:p w:rsidR="009B329B" w:rsidRDefault="009B329B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111278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111278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111278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bookmarkStart w:id="0" w:name="_GoBack"/>
      <w:bookmarkEnd w:id="0"/>
    </w:p>
    <w:p w:rsidR="00111278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111278" w:rsidRPr="00F56A56" w:rsidRDefault="00111278" w:rsidP="009B32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sectPr w:rsidR="00111278" w:rsidRPr="00F56A56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A7" w:rsidRDefault="004166A7">
      <w:r>
        <w:separator/>
      </w:r>
    </w:p>
  </w:endnote>
  <w:endnote w:type="continuationSeparator" w:id="0">
    <w:p w:rsidR="004166A7" w:rsidRDefault="004166A7">
      <w:r>
        <w:continuationSeparator/>
      </w:r>
    </w:p>
  </w:endnote>
  <w:endnote w:id="1">
    <w:p w:rsidR="009B329B" w:rsidRDefault="009B329B" w:rsidP="00111278">
      <w:pPr>
        <w:pStyle w:val="Textonotaalfinal"/>
        <w:jc w:val="both"/>
      </w:pPr>
      <w:r w:rsidRPr="00111278">
        <w:rPr>
          <w:rStyle w:val="Refdenotaalfinal"/>
          <w:b/>
          <w:color w:val="C00000"/>
        </w:rPr>
        <w:endnoteRef/>
      </w:r>
      <w:r w:rsidRPr="00111278">
        <w:rPr>
          <w:b/>
          <w:color w:val="C00000"/>
        </w:rPr>
        <w:t xml:space="preserve"> </w:t>
      </w:r>
      <w:r w:rsidR="00111278">
        <w:t>Los documentos a los que hacen referencia, se enviaron a su persona el pasado 20 de abril, y se notificó por correo electrónico mediante resolución MAG OIR N° 058 de esa misma fecha, la cual adjunto nuevamente a este oficio, junto con copia del Acta de fecha 29 de junio de 2016 sobre la reunión de la comisión del proceso de permuta.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63437" w:rsidRPr="0096343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166A7">
                            <w:fldChar w:fldCharType="begin"/>
                          </w:r>
                          <w:r w:rsidR="004166A7">
                            <w:instrText>NUMPAGES  \* Arabic  \* MERGEFORMAT</w:instrText>
                          </w:r>
                          <w:r w:rsidR="004166A7">
                            <w:fldChar w:fldCharType="separate"/>
                          </w:r>
                          <w:r w:rsidR="00963437" w:rsidRPr="0096343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4166A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63437" w:rsidRPr="0096343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166A7">
                      <w:fldChar w:fldCharType="begin"/>
                    </w:r>
                    <w:r w:rsidR="004166A7">
                      <w:instrText>NUMPAGES  \* Arabic  \* MERGEFORMAT</w:instrText>
                    </w:r>
                    <w:r w:rsidR="004166A7">
                      <w:fldChar w:fldCharType="separate"/>
                    </w:r>
                    <w:r w:rsidR="00963437" w:rsidRPr="0096343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4166A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A7" w:rsidRDefault="004166A7">
      <w:r>
        <w:separator/>
      </w:r>
    </w:p>
  </w:footnote>
  <w:footnote w:type="continuationSeparator" w:id="0">
    <w:p w:rsidR="004166A7" w:rsidRDefault="0041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C06BE"/>
    <w:multiLevelType w:val="hybridMultilevel"/>
    <w:tmpl w:val="12D4C4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C3294"/>
    <w:multiLevelType w:val="hybridMultilevel"/>
    <w:tmpl w:val="16F63AD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677B2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89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278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0EC8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0EB0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16F2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1F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66A7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5DE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056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1A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3437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29B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5EC7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05CD0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59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6AC0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6A56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25F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55B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9B329B"/>
  </w:style>
  <w:style w:type="character" w:customStyle="1" w:styleId="TextonotaalfinalCar">
    <w:name w:val="Texto nota al final Car"/>
    <w:basedOn w:val="Fuentedeprrafopredeter"/>
    <w:link w:val="Textonotaalfinal"/>
    <w:semiHidden/>
    <w:rsid w:val="009B329B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9B32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9B329B"/>
  </w:style>
  <w:style w:type="character" w:customStyle="1" w:styleId="TextonotaalfinalCar">
    <w:name w:val="Texto nota al final Car"/>
    <w:basedOn w:val="Fuentedeprrafopredeter"/>
    <w:link w:val="Textonotaalfinal"/>
    <w:semiHidden/>
    <w:rsid w:val="009B329B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9B3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A249-868A-44ED-BA2A-58256726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3166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2018-05-23T20:59:00Z</cp:lastPrinted>
  <dcterms:created xsi:type="dcterms:W3CDTF">2018-05-23T21:00:00Z</dcterms:created>
  <dcterms:modified xsi:type="dcterms:W3CDTF">2018-05-23T21:00:00Z</dcterms:modified>
</cp:coreProperties>
</file>