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40360" w:rsidRPr="00883D41" w:rsidRDefault="00D40360" w:rsidP="00D40360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 w:rsidRPr="00DA1573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>página 1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 xml:space="preserve"> de la presente resolución</w:t>
      </w:r>
    </w:p>
    <w:p w:rsidR="008848CD" w:rsidRPr="00343A88" w:rsidRDefault="008848CD" w:rsidP="00D579C5">
      <w:pPr>
        <w:tabs>
          <w:tab w:val="left" w:pos="5115"/>
        </w:tabs>
        <w:jc w:val="center"/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</w:pPr>
      <w:r w:rsidRPr="00343A88">
        <w:rPr>
          <w:rFonts w:ascii="Meiryo UI" w:eastAsia="Meiryo UI" w:hAnsi="Meiryo UI" w:cs="Meiryo UI"/>
          <w:b/>
          <w:color w:val="000099"/>
          <w:sz w:val="18"/>
          <w:szCs w:val="16"/>
        </w:rPr>
        <w:t>RESOLUCIÓN EN RESPUESTA A SOLICITUD DE INFORMACIÓN</w:t>
      </w:r>
      <w:r w:rsidR="007375B6" w:rsidRPr="00343A88">
        <w:rPr>
          <w:rFonts w:ascii="Meiryo UI" w:eastAsia="Meiryo UI" w:hAnsi="Meiryo UI" w:cs="Meiryo UI"/>
          <w:b/>
          <w:color w:val="000099"/>
          <w:sz w:val="18"/>
          <w:szCs w:val="16"/>
        </w:rPr>
        <w:t xml:space="preserve"> </w:t>
      </w:r>
      <w:r w:rsidR="00C42068"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 xml:space="preserve">MAG OIR N° </w:t>
      </w:r>
      <w:r w:rsidR="008F71F5"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>0</w:t>
      </w:r>
      <w:r w:rsidR="00303F2B"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>7</w:t>
      </w:r>
      <w:r w:rsidR="00381AF6"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>2</w:t>
      </w:r>
      <w:r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>-201</w:t>
      </w:r>
      <w:r w:rsidR="00C42068" w:rsidRPr="00343A88">
        <w:rPr>
          <w:rFonts w:ascii="Meiryo UI" w:eastAsia="Meiryo UI" w:hAnsi="Meiryo UI" w:cs="Meiryo UI"/>
          <w:b/>
          <w:color w:val="000099"/>
          <w:sz w:val="18"/>
          <w:szCs w:val="16"/>
          <w:u w:val="single"/>
        </w:rPr>
        <w:t>8</w:t>
      </w:r>
    </w:p>
    <w:p w:rsidR="00220D93" w:rsidRPr="00343A88" w:rsidRDefault="00220D93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eiryo UI" w:eastAsia="Meiryo UI" w:hAnsi="Meiryo UI" w:cs="Meiryo UI"/>
          <w:sz w:val="8"/>
          <w:szCs w:val="16"/>
        </w:rPr>
      </w:pPr>
    </w:p>
    <w:p w:rsidR="00EE2A0E" w:rsidRPr="00343A88" w:rsidRDefault="008848CD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eiryo UI" w:eastAsia="Meiryo UI" w:hAnsi="Meiryo UI" w:cs="Meiryo UI"/>
          <w:sz w:val="16"/>
          <w:szCs w:val="16"/>
        </w:rPr>
      </w:pPr>
      <w:r w:rsidRPr="00343A88">
        <w:rPr>
          <w:rFonts w:ascii="Meiryo UI" w:eastAsia="Meiryo UI" w:hAnsi="Meiryo UI" w:cs="Meiryo UI"/>
          <w:sz w:val="16"/>
          <w:szCs w:val="16"/>
        </w:rPr>
        <w:t xml:space="preserve">Santa Tecla, departamento de La Libertad a las </w:t>
      </w:r>
      <w:r w:rsidR="00381AF6"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catorce </w:t>
      </w:r>
      <w:r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horas </w:t>
      </w:r>
      <w:r w:rsidR="00D9645B"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con </w:t>
      </w:r>
      <w:r w:rsidR="00381AF6"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treinta y uno </w:t>
      </w:r>
      <w:r w:rsidR="00D9645B"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minutos </w:t>
      </w:r>
      <w:r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del día </w:t>
      </w:r>
      <w:r w:rsidR="00381AF6" w:rsidRPr="00343A88">
        <w:rPr>
          <w:rFonts w:ascii="Meiryo UI" w:eastAsia="Meiryo UI" w:hAnsi="Meiryo UI" w:cs="Meiryo UI"/>
          <w:color w:val="000099"/>
          <w:sz w:val="16"/>
          <w:szCs w:val="16"/>
        </w:rPr>
        <w:t xml:space="preserve">2 de mayo </w:t>
      </w:r>
      <w:r w:rsidR="002E4291" w:rsidRPr="00343A88">
        <w:rPr>
          <w:rFonts w:ascii="Meiryo UI" w:eastAsia="Meiryo UI" w:hAnsi="Meiryo UI" w:cs="Meiryo UI"/>
          <w:color w:val="000099"/>
          <w:sz w:val="16"/>
          <w:szCs w:val="16"/>
        </w:rPr>
        <w:t>de dos mil dieciocho</w:t>
      </w:r>
      <w:r w:rsidRPr="00343A88">
        <w:rPr>
          <w:rFonts w:ascii="Meiryo UI" w:eastAsia="Meiryo UI" w:hAnsi="Meiryo UI" w:cs="Meiryo UI"/>
          <w:sz w:val="16"/>
          <w:szCs w:val="16"/>
        </w:rPr>
        <w:t xml:space="preserve">, el Ministerio de Agricultura y Ganadería luego de haber recibido y admitido la solicitud de información </w:t>
      </w:r>
      <w:r w:rsidR="00C42068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MAG OIR</w:t>
      </w:r>
      <w:r w:rsidR="00446346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 </w:t>
      </w:r>
      <w:r w:rsidR="00C42068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No. 0</w:t>
      </w:r>
      <w:r w:rsidR="00E652D3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7</w:t>
      </w:r>
      <w:r w:rsidR="00381AF6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2</w:t>
      </w:r>
      <w:r w:rsidR="00FA5A1E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 </w:t>
      </w:r>
      <w:r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-201</w:t>
      </w:r>
      <w:r w:rsidR="00C42068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8</w:t>
      </w:r>
      <w:r w:rsidRPr="00343A88">
        <w:rPr>
          <w:rFonts w:ascii="Meiryo UI" w:eastAsia="Meiryo UI" w:hAnsi="Meiryo UI" w:cs="Meiryo UI"/>
          <w:sz w:val="16"/>
          <w:szCs w:val="16"/>
        </w:rPr>
        <w:t xml:space="preserve"> sobre:</w:t>
      </w:r>
    </w:p>
    <w:p w:rsidR="00AD25AE" w:rsidRPr="00343A88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eiryo UI" w:eastAsia="Meiryo UI" w:hAnsi="Meiryo UI" w:cs="Meiryo UI"/>
          <w:sz w:val="8"/>
          <w:szCs w:val="16"/>
        </w:rPr>
      </w:pPr>
    </w:p>
    <w:p w:rsidR="00381AF6" w:rsidRPr="00343A88" w:rsidRDefault="00381AF6" w:rsidP="00381AF6">
      <w:pPr>
        <w:suppressAutoHyphens w:val="0"/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color w:val="000099"/>
          <w:sz w:val="16"/>
          <w:szCs w:val="16"/>
          <w:lang w:eastAsia="es-SV"/>
        </w:rPr>
      </w:pPr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Información del camarón blanco (</w:t>
      </w:r>
      <w:proofErr w:type="spellStart"/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Litopenaeus</w:t>
      </w:r>
      <w:proofErr w:type="spellEnd"/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 xml:space="preserve"> </w:t>
      </w:r>
      <w:proofErr w:type="spellStart"/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vannamei</w:t>
      </w:r>
      <w:proofErr w:type="spellEnd"/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), de 2007 a 2017 sobre:</w:t>
      </w:r>
    </w:p>
    <w:p w:rsidR="00381AF6" w:rsidRPr="00343A88" w:rsidRDefault="00381AF6" w:rsidP="00381AF6">
      <w:pPr>
        <w:suppressAutoHyphens w:val="0"/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color w:val="000099"/>
          <w:sz w:val="8"/>
          <w:szCs w:val="16"/>
          <w:lang w:eastAsia="es-SV"/>
        </w:rPr>
      </w:pPr>
    </w:p>
    <w:p w:rsidR="00381AF6" w:rsidRPr="00343A88" w:rsidRDefault="00381AF6" w:rsidP="00381AF6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</w:pPr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Datos de producción</w:t>
      </w:r>
    </w:p>
    <w:p w:rsidR="00381AF6" w:rsidRPr="00343A88" w:rsidRDefault="00381AF6" w:rsidP="00381AF6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</w:pPr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Importación</w:t>
      </w:r>
    </w:p>
    <w:p w:rsidR="00381AF6" w:rsidRPr="00343A88" w:rsidRDefault="00381AF6" w:rsidP="00381AF6">
      <w:pPr>
        <w:pStyle w:val="Prrafodelista"/>
        <w:numPr>
          <w:ilvl w:val="0"/>
          <w:numId w:val="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</w:pPr>
      <w:r w:rsidRPr="00343A88">
        <w:rPr>
          <w:rFonts w:ascii="Meiryo UI" w:eastAsia="Meiryo UI" w:hAnsi="Meiryo UI" w:cs="Meiryo UI"/>
          <w:color w:val="000099"/>
          <w:sz w:val="16"/>
          <w:szCs w:val="16"/>
          <w:lang w:val="x-none" w:eastAsia="es-SV"/>
        </w:rPr>
        <w:t>Exportación del camarón blanco cultivado en El Salvador</w:t>
      </w:r>
    </w:p>
    <w:p w:rsidR="00303F2B" w:rsidRPr="00343A88" w:rsidRDefault="00303F2B" w:rsidP="00381AF6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Meiryo UI" w:eastAsia="Meiryo UI" w:hAnsi="Meiryo UI" w:cs="Meiryo UI"/>
          <w:color w:val="000099"/>
          <w:sz w:val="8"/>
          <w:szCs w:val="16"/>
          <w:lang w:val="x-none"/>
        </w:rPr>
      </w:pPr>
    </w:p>
    <w:p w:rsidR="00D2321C" w:rsidRDefault="008848CD" w:rsidP="00343A88">
      <w:pPr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sz w:val="16"/>
          <w:szCs w:val="16"/>
        </w:rPr>
      </w:pPr>
      <w:r w:rsidRPr="00343A88">
        <w:rPr>
          <w:rFonts w:ascii="Meiryo UI" w:eastAsia="Meiryo UI" w:hAnsi="Meiryo UI" w:cs="Meiryo UI"/>
          <w:sz w:val="16"/>
          <w:szCs w:val="16"/>
        </w:rPr>
        <w:t>Presentada ante la Oficina de Información y Respuesta de esta dependencia por parte de:</w:t>
      </w:r>
      <w:r w:rsidR="002C7C42" w:rsidRPr="00343A88">
        <w:rPr>
          <w:rFonts w:ascii="Meiryo UI" w:eastAsia="Meiryo UI" w:hAnsi="Meiryo UI" w:cs="Meiryo UI"/>
          <w:sz w:val="16"/>
          <w:szCs w:val="16"/>
        </w:rPr>
        <w:t xml:space="preserve"> </w:t>
      </w:r>
      <w:r w:rsidR="00D40360" w:rsidRPr="00D40360">
        <w:rPr>
          <w:rFonts w:ascii="Meiryo UI" w:eastAsia="Meiryo UI" w:hAnsi="Meiryo UI" w:cs="Meiryo UI"/>
          <w:b/>
          <w:color w:val="000099"/>
          <w:sz w:val="16"/>
          <w:szCs w:val="16"/>
          <w:highlight w:val="darkBlue"/>
          <w:lang w:eastAsia="es-SV"/>
        </w:rPr>
        <w:t>ccc</w:t>
      </w:r>
      <w:r w:rsidR="00381AF6" w:rsidRPr="00343A88">
        <w:rPr>
          <w:rFonts w:ascii="Meiryo UI" w:eastAsia="Meiryo UI" w:hAnsi="Meiryo UI" w:cs="Meiryo UI"/>
          <w:color w:val="000000"/>
          <w:sz w:val="16"/>
          <w:szCs w:val="16"/>
          <w:lang w:eastAsia="es-SV"/>
        </w:rPr>
        <w:t>,</w:t>
      </w:r>
      <w:r w:rsidR="00213AD7"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 </w:t>
      </w:r>
      <w:r w:rsidRPr="00343A88">
        <w:rPr>
          <w:rFonts w:ascii="Meiryo UI" w:eastAsia="Meiryo UI" w:hAnsi="Meiryo UI" w:cs="Meiryo UI"/>
          <w:sz w:val="16"/>
          <w:szCs w:val="16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343A88">
        <w:rPr>
          <w:rFonts w:ascii="Meiryo UI" w:eastAsia="Meiryo UI" w:hAnsi="Meiryo UI" w:cs="Meiryo UI"/>
          <w:sz w:val="16"/>
          <w:szCs w:val="16"/>
        </w:rPr>
        <w:t>resuelve</w:t>
      </w:r>
      <w:proofErr w:type="gramEnd"/>
      <w:r w:rsidRPr="00343A88">
        <w:rPr>
          <w:rFonts w:ascii="Meiryo UI" w:eastAsia="Meiryo UI" w:hAnsi="Meiryo UI" w:cs="Meiryo UI"/>
          <w:sz w:val="16"/>
          <w:szCs w:val="16"/>
        </w:rPr>
        <w:t>:</w:t>
      </w:r>
      <w:r w:rsidR="00343A88">
        <w:rPr>
          <w:rFonts w:ascii="Meiryo UI" w:eastAsia="Meiryo UI" w:hAnsi="Meiryo UI" w:cs="Meiryo UI"/>
          <w:sz w:val="16"/>
          <w:szCs w:val="16"/>
        </w:rPr>
        <w:t xml:space="preserve"> </w:t>
      </w:r>
    </w:p>
    <w:p w:rsidR="00D2321C" w:rsidRDefault="00D2321C" w:rsidP="00343A88">
      <w:pPr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/>
          <w:sz w:val="16"/>
          <w:szCs w:val="16"/>
        </w:rPr>
      </w:pPr>
    </w:p>
    <w:p w:rsidR="008848CD" w:rsidRPr="00D2321C" w:rsidRDefault="008848CD" w:rsidP="00D2321C">
      <w:pPr>
        <w:autoSpaceDE w:val="0"/>
        <w:autoSpaceDN w:val="0"/>
        <w:adjustRightInd w:val="0"/>
        <w:snapToGrid w:val="0"/>
        <w:jc w:val="center"/>
        <w:rPr>
          <w:rFonts w:ascii="Meiryo UI" w:eastAsia="Meiryo UI" w:hAnsi="Meiryo UI" w:cs="Meiryo UI"/>
          <w:b/>
          <w:color w:val="000099"/>
          <w:sz w:val="16"/>
          <w:szCs w:val="16"/>
        </w:rPr>
      </w:pPr>
      <w:r w:rsidRPr="00D2321C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PROPORCIONAR </w:t>
      </w:r>
      <w:r w:rsidR="00381AF6" w:rsidRPr="00D2321C">
        <w:rPr>
          <w:rFonts w:ascii="Meiryo UI" w:eastAsia="Meiryo UI" w:hAnsi="Meiryo UI" w:cs="Meiryo UI"/>
          <w:b/>
          <w:sz w:val="16"/>
          <w:szCs w:val="16"/>
        </w:rPr>
        <w:t>PARTE</w:t>
      </w:r>
      <w:r w:rsidR="00381AF6" w:rsidRPr="00D2321C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 DE </w:t>
      </w:r>
      <w:r w:rsidRPr="00D2321C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LA INFORMACIÓN </w:t>
      </w:r>
      <w:r w:rsidR="00303F2B" w:rsidRPr="00D2321C">
        <w:rPr>
          <w:rFonts w:ascii="Meiryo UI" w:eastAsia="Meiryo UI" w:hAnsi="Meiryo UI" w:cs="Meiryo UI"/>
          <w:b/>
          <w:color w:val="000099"/>
          <w:sz w:val="16"/>
          <w:szCs w:val="16"/>
        </w:rPr>
        <w:t xml:space="preserve">PÚBLICA </w:t>
      </w:r>
      <w:r w:rsidRPr="00D2321C">
        <w:rPr>
          <w:rFonts w:ascii="Meiryo UI" w:eastAsia="Meiryo UI" w:hAnsi="Meiryo UI" w:cs="Meiryo UI"/>
          <w:b/>
          <w:color w:val="000099"/>
          <w:sz w:val="16"/>
          <w:szCs w:val="16"/>
        </w:rPr>
        <w:t>SOLICITADA</w:t>
      </w:r>
    </w:p>
    <w:p w:rsidR="00343A88" w:rsidRPr="00343A88" w:rsidRDefault="00343A88" w:rsidP="00343A88">
      <w:pPr>
        <w:jc w:val="both"/>
        <w:rPr>
          <w:rFonts w:ascii="Meiryo UI" w:eastAsia="Meiryo UI" w:hAnsi="Meiryo UI" w:cs="Meiryo UI"/>
          <w:sz w:val="8"/>
          <w:szCs w:val="16"/>
        </w:rPr>
      </w:pPr>
    </w:p>
    <w:p w:rsidR="00343A88" w:rsidRPr="00343A88" w:rsidRDefault="00343A88" w:rsidP="00343A88">
      <w:pPr>
        <w:jc w:val="both"/>
        <w:rPr>
          <w:rFonts w:ascii="Meiryo UI" w:eastAsia="Meiryo UI" w:hAnsi="Meiryo UI" w:cs="Meiryo UI"/>
          <w:sz w:val="16"/>
          <w:szCs w:val="16"/>
          <w:lang w:val="es-ES" w:eastAsia="en-US"/>
        </w:rPr>
      </w:pPr>
      <w:r w:rsidRPr="00343A88">
        <w:rPr>
          <w:rFonts w:ascii="Meiryo UI" w:eastAsia="Meiryo UI" w:hAnsi="Meiryo UI" w:cs="Meiryo UI"/>
          <w:sz w:val="16"/>
          <w:szCs w:val="16"/>
        </w:rPr>
        <w:t xml:space="preserve">Al respecto se adjunta al presente oficio los </w:t>
      </w:r>
      <w:r w:rsidRPr="00343A88">
        <w:rPr>
          <w:rFonts w:ascii="Meiryo UI" w:eastAsia="Meiryo UI" w:hAnsi="Meiryo UI" w:cs="Meiryo UI"/>
          <w:i/>
          <w:color w:val="000099"/>
          <w:sz w:val="16"/>
          <w:szCs w:val="16"/>
        </w:rPr>
        <w:t>datos de producción de camarón blanco del período 2007 a 2016</w:t>
      </w:r>
      <w:r w:rsidRPr="00343A88">
        <w:rPr>
          <w:rFonts w:ascii="Meiryo UI" w:eastAsia="Meiryo UI" w:hAnsi="Meiryo UI" w:cs="Meiryo UI"/>
          <w:sz w:val="16"/>
          <w:szCs w:val="16"/>
        </w:rPr>
        <w:t xml:space="preserve">, que son los datos disponibles por el momento en CENDEPESCA; también se anexan los </w:t>
      </w:r>
      <w:r w:rsidRPr="00343A88">
        <w:rPr>
          <w:rFonts w:ascii="Meiryo UI" w:eastAsia="Meiryo UI" w:hAnsi="Meiryo UI" w:cs="Meiryo UI"/>
          <w:i/>
          <w:color w:val="000099"/>
          <w:sz w:val="16"/>
          <w:szCs w:val="16"/>
        </w:rPr>
        <w:t>datos de importación de camarón de los años 2007 a 2017</w:t>
      </w:r>
      <w:r>
        <w:rPr>
          <w:rFonts w:ascii="Meiryo UI" w:eastAsia="Meiryo UI" w:hAnsi="Meiryo UI" w:cs="Meiryo UI"/>
          <w:sz w:val="16"/>
          <w:szCs w:val="16"/>
        </w:rPr>
        <w:t xml:space="preserve">; con relación a la </w:t>
      </w:r>
      <w:r w:rsidRPr="00343A88">
        <w:rPr>
          <w:rFonts w:ascii="Meiryo UI" w:eastAsia="Meiryo UI" w:hAnsi="Meiryo UI" w:cs="Meiryo UI" w:hint="eastAsia"/>
          <w:sz w:val="16"/>
          <w:szCs w:val="16"/>
          <w:lang w:val="es-ES" w:eastAsia="en-US"/>
        </w:rPr>
        <w:t>información relacionada</w:t>
      </w:r>
      <w:r w:rsidRPr="00343A88">
        <w:rPr>
          <w:rFonts w:ascii="Meiryo UI" w:eastAsia="Meiryo UI" w:hAnsi="Meiryo UI" w:cs="Meiryo UI"/>
          <w:sz w:val="16"/>
          <w:szCs w:val="16"/>
          <w:lang w:val="es-ES" w:eastAsia="en-US"/>
        </w:rPr>
        <w:t xml:space="preserve"> con </w:t>
      </w:r>
      <w:r w:rsidRPr="00343A88">
        <w:rPr>
          <w:rFonts w:ascii="Meiryo UI" w:eastAsia="Meiryo UI" w:hAnsi="Meiryo UI" w:cs="Meiryo UI"/>
          <w:i/>
          <w:color w:val="000099"/>
          <w:sz w:val="16"/>
          <w:szCs w:val="16"/>
          <w:lang w:val="es-ES" w:eastAsia="en-US"/>
        </w:rPr>
        <w:t xml:space="preserve">datos de </w:t>
      </w:r>
      <w:r w:rsidRPr="00343A88">
        <w:rPr>
          <w:rFonts w:ascii="Meiryo UI" w:eastAsia="Meiryo UI" w:hAnsi="Meiryo UI" w:cs="Meiryo UI" w:hint="eastAsia"/>
          <w:i/>
          <w:color w:val="000099"/>
          <w:sz w:val="16"/>
          <w:szCs w:val="16"/>
          <w:lang w:val="es-ES" w:eastAsia="en-US"/>
        </w:rPr>
        <w:t>exportación de ca</w:t>
      </w:r>
      <w:r w:rsidRPr="00343A88">
        <w:rPr>
          <w:rFonts w:ascii="Meiryo UI" w:eastAsia="Meiryo UI" w:hAnsi="Meiryo UI" w:cs="Meiryo UI"/>
          <w:i/>
          <w:color w:val="000099"/>
          <w:sz w:val="16"/>
          <w:szCs w:val="16"/>
          <w:lang w:val="es-ES" w:eastAsia="en-US"/>
        </w:rPr>
        <w:t>marón blanco de ese período;</w:t>
      </w:r>
      <w:r w:rsidRPr="00343A88">
        <w:rPr>
          <w:rFonts w:ascii="Meiryo UI" w:eastAsia="Meiryo UI" w:hAnsi="Meiryo UI" w:cs="Meiryo UI" w:hint="eastAsia"/>
          <w:sz w:val="16"/>
          <w:szCs w:val="16"/>
          <w:lang w:val="es-ES" w:eastAsia="en-US"/>
        </w:rPr>
        <w:t xml:space="preserve"> 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343A88" w:rsidRPr="00343A88" w:rsidRDefault="00343A88" w:rsidP="00343A88">
      <w:pPr>
        <w:jc w:val="both"/>
        <w:rPr>
          <w:rFonts w:ascii="Meiryo UI" w:eastAsia="Meiryo UI" w:hAnsi="Meiryo UI" w:cs="Meiryo UI" w:hint="eastAsia"/>
          <w:b/>
          <w:color w:val="000099"/>
          <w:sz w:val="8"/>
          <w:szCs w:val="16"/>
          <w:lang w:eastAsia="es-SV"/>
        </w:rPr>
      </w:pPr>
      <w:r w:rsidRPr="00343A88">
        <w:rPr>
          <w:rFonts w:ascii="Meiryo UI" w:eastAsia="Meiryo UI" w:hAnsi="Meiryo UI" w:cs="Meiryo UI" w:hint="eastAsia"/>
          <w:w w:val="102"/>
          <w:sz w:val="16"/>
          <w:szCs w:val="16"/>
        </w:rPr>
        <w:tab/>
      </w:r>
    </w:p>
    <w:p w:rsidR="00343A88" w:rsidRPr="00D2321C" w:rsidRDefault="00343A88" w:rsidP="00343A88">
      <w:pPr>
        <w:jc w:val="center"/>
        <w:rPr>
          <w:rFonts w:ascii="Meiryo UI" w:eastAsia="Meiryo UI" w:hAnsi="Meiryo UI" w:cs="Meiryo UI" w:hint="eastAsia"/>
          <w:b/>
          <w:color w:val="000099"/>
          <w:sz w:val="16"/>
          <w:szCs w:val="16"/>
        </w:rPr>
      </w:pPr>
      <w:r w:rsidRPr="00D2321C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>NO ENTREGAR LA INFORMACION POR NO SER ESTA INSTITUCIÓN COMPETENTE PARA CONOCER DE LA MISMA</w:t>
      </w:r>
    </w:p>
    <w:p w:rsidR="00343A88" w:rsidRPr="00343A88" w:rsidRDefault="00343A88" w:rsidP="00343A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eiryo UI" w:eastAsia="Meiryo UI" w:hAnsi="Meiryo UI" w:cs="Meiryo UI" w:hint="eastAsia"/>
          <w:sz w:val="6"/>
          <w:szCs w:val="16"/>
        </w:rPr>
      </w:pPr>
    </w:p>
    <w:p w:rsidR="00343A88" w:rsidRPr="00343A88" w:rsidRDefault="00343A88" w:rsidP="00343A8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eiryo UI" w:eastAsia="Meiryo UI" w:hAnsi="Meiryo UI" w:cs="Meiryo UI" w:hint="eastAsia"/>
          <w:sz w:val="16"/>
          <w:szCs w:val="16"/>
        </w:rPr>
      </w:pPr>
      <w:r w:rsidRPr="00343A88">
        <w:rPr>
          <w:rFonts w:ascii="Meiryo UI" w:eastAsia="Meiryo UI" w:hAnsi="Meiryo UI" w:cs="Meiryo UI" w:hint="eastAsia"/>
          <w:sz w:val="16"/>
          <w:szCs w:val="16"/>
        </w:rPr>
        <w:t xml:space="preserve">Para mayor información consultar a </w:t>
      </w:r>
      <w:r w:rsidRPr="00343A88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>Banco Central de Reserva-BCR</w:t>
      </w:r>
      <w:r w:rsidRPr="00343A88">
        <w:rPr>
          <w:rFonts w:ascii="Meiryo UI" w:eastAsia="Meiryo UI" w:hAnsi="Meiryo UI" w:cs="Meiryo UI" w:hint="eastAsia"/>
          <w:sz w:val="16"/>
          <w:szCs w:val="16"/>
        </w:rPr>
        <w:t xml:space="preserve">, contactar a la Oficial de Información: </w:t>
      </w:r>
      <w:r w:rsidRPr="00343A88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 xml:space="preserve">Flor </w:t>
      </w:r>
      <w:proofErr w:type="spellStart"/>
      <w:r w:rsidRPr="00343A88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>Idania</w:t>
      </w:r>
      <w:proofErr w:type="spellEnd"/>
      <w:r w:rsidRPr="00343A88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 xml:space="preserve"> Romero de Fernández Edificio BCR</w:t>
      </w:r>
      <w:r w:rsidRPr="00343A88">
        <w:rPr>
          <w:rFonts w:ascii="Meiryo UI" w:eastAsia="Meiryo UI" w:hAnsi="Meiryo UI" w:cs="Meiryo UI" w:hint="eastAsia"/>
          <w:sz w:val="16"/>
          <w:szCs w:val="16"/>
        </w:rPr>
        <w:t xml:space="preserve">, en Alameda Juan Pablo II, entre 15 y 17 Av. Norte, Planta Principal, correo electrónico: </w:t>
      </w:r>
      <w:r w:rsidRPr="00343A88">
        <w:rPr>
          <w:rFonts w:ascii="Meiryo UI" w:eastAsia="Meiryo UI" w:hAnsi="Meiryo UI" w:cs="Meiryo UI" w:hint="eastAsia"/>
          <w:b/>
          <w:color w:val="000099"/>
          <w:sz w:val="16"/>
          <w:szCs w:val="16"/>
        </w:rPr>
        <w:t>oficial.informacion@bcr.gob.sv</w:t>
      </w:r>
      <w:r w:rsidRPr="00343A88">
        <w:rPr>
          <w:rFonts w:ascii="Meiryo UI" w:eastAsia="Meiryo UI" w:hAnsi="Meiryo UI" w:cs="Meiryo UI" w:hint="eastAsia"/>
          <w:sz w:val="16"/>
          <w:szCs w:val="16"/>
        </w:rPr>
        <w:t>, teléfono: 2281-8030 o al 2281-8533.</w:t>
      </w:r>
    </w:p>
    <w:p w:rsidR="00343A88" w:rsidRPr="00343A88" w:rsidRDefault="00343A88" w:rsidP="00343A88">
      <w:pPr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 w:hint="eastAsia"/>
          <w:sz w:val="8"/>
          <w:szCs w:val="16"/>
        </w:rPr>
      </w:pPr>
    </w:p>
    <w:p w:rsidR="00343A88" w:rsidRPr="00343A88" w:rsidRDefault="00343A88" w:rsidP="00343A88">
      <w:pPr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 w:hint="eastAsia"/>
          <w:sz w:val="16"/>
          <w:szCs w:val="16"/>
        </w:rPr>
      </w:pPr>
      <w:r w:rsidRPr="00343A88">
        <w:rPr>
          <w:rFonts w:ascii="Meiryo UI" w:eastAsia="Meiryo UI" w:hAnsi="Meiryo UI" w:cs="Meiryo UI" w:hint="eastAsia"/>
          <w:sz w:val="16"/>
          <w:szCs w:val="16"/>
        </w:rPr>
        <w:t xml:space="preserve">También puede </w:t>
      </w:r>
      <w:r w:rsidRPr="00343A88">
        <w:rPr>
          <w:rFonts w:ascii="Meiryo UI" w:eastAsia="Meiryo UI" w:hAnsi="Meiryo UI" w:cs="Meiryo UI" w:hint="eastAsia"/>
          <w:sz w:val="16"/>
          <w:szCs w:val="16"/>
          <w:lang w:eastAsia="en-US"/>
        </w:rPr>
        <w:t>ingresar a la siguiente dirección electrónica</w:t>
      </w:r>
      <w:r w:rsidRPr="00343A88">
        <w:rPr>
          <w:rFonts w:ascii="Meiryo UI" w:eastAsia="Meiryo UI" w:hAnsi="Meiryo UI" w:cs="Meiryo UI" w:hint="eastAsia"/>
          <w:color w:val="002060"/>
          <w:sz w:val="16"/>
          <w:szCs w:val="16"/>
          <w:lang w:eastAsia="en-US"/>
        </w:rPr>
        <w:t>:</w:t>
      </w:r>
      <w:r w:rsidRPr="00343A88">
        <w:rPr>
          <w:rFonts w:ascii="Meiryo UI" w:eastAsia="Meiryo UI" w:hAnsi="Meiryo UI" w:cs="Meiryo UI" w:hint="eastAsia"/>
          <w:sz w:val="16"/>
          <w:szCs w:val="16"/>
        </w:rPr>
        <w:t xml:space="preserve"> </w:t>
      </w:r>
    </w:p>
    <w:p w:rsidR="00343A88" w:rsidRPr="00343A88" w:rsidRDefault="00343A88" w:rsidP="00343A88">
      <w:pPr>
        <w:autoSpaceDE w:val="0"/>
        <w:autoSpaceDN w:val="0"/>
        <w:adjustRightInd w:val="0"/>
        <w:snapToGrid w:val="0"/>
        <w:jc w:val="both"/>
        <w:rPr>
          <w:rFonts w:ascii="Meiryo UI" w:eastAsia="Meiryo UI" w:hAnsi="Meiryo UI" w:cs="Meiryo UI" w:hint="eastAsia"/>
          <w:color w:val="0000FF"/>
          <w:sz w:val="16"/>
          <w:szCs w:val="16"/>
          <w:lang w:eastAsia="en-US"/>
        </w:rPr>
      </w:pPr>
      <w:hyperlink r:id="rId9" w:history="1">
        <w:r w:rsidRPr="00343A88">
          <w:rPr>
            <w:rStyle w:val="Hipervnculo"/>
            <w:rFonts w:ascii="Meiryo UI" w:eastAsia="Meiryo UI" w:hAnsi="Meiryo UI" w:cs="Meiryo UI" w:hint="eastAsia"/>
            <w:sz w:val="16"/>
            <w:szCs w:val="16"/>
            <w:lang w:eastAsia="en-US"/>
          </w:rPr>
          <w:t>http://www.ciexelsalvador.gob.sv/registroSIMP/</w:t>
        </w:r>
      </w:hyperlink>
      <w:r w:rsidRPr="00343A88">
        <w:rPr>
          <w:rFonts w:ascii="Meiryo UI" w:eastAsia="Meiryo UI" w:hAnsi="Meiryo UI" w:cs="Meiryo UI" w:hint="eastAsia"/>
          <w:color w:val="0000FF"/>
          <w:sz w:val="16"/>
          <w:szCs w:val="16"/>
          <w:lang w:eastAsia="en-US"/>
        </w:rPr>
        <w:t xml:space="preserve">. </w:t>
      </w:r>
    </w:p>
    <w:p w:rsidR="00343A88" w:rsidRPr="00343A88" w:rsidRDefault="00343A88" w:rsidP="00343A88">
      <w:pPr>
        <w:jc w:val="center"/>
        <w:rPr>
          <w:rFonts w:ascii="Meiryo UI" w:eastAsia="Meiryo UI" w:hAnsi="Meiryo UI" w:cs="Meiryo UI" w:hint="eastAsia"/>
          <w:color w:val="000099"/>
          <w:sz w:val="12"/>
          <w:szCs w:val="16"/>
          <w:lang w:eastAsia="es-SV"/>
        </w:rPr>
      </w:pPr>
    </w:p>
    <w:p w:rsidR="00343A88" w:rsidRPr="00343A88" w:rsidRDefault="00343A88" w:rsidP="00343A88">
      <w:pPr>
        <w:autoSpaceDE w:val="0"/>
        <w:autoSpaceDN w:val="0"/>
        <w:adjustRightInd w:val="0"/>
        <w:jc w:val="both"/>
        <w:rPr>
          <w:rFonts w:ascii="Meiryo UI" w:eastAsia="Meiryo UI" w:hAnsi="Meiryo UI" w:cs="Meiryo UI" w:hint="eastAsia"/>
          <w:sz w:val="16"/>
          <w:szCs w:val="16"/>
        </w:rPr>
      </w:pPr>
      <w:r w:rsidRPr="00343A88">
        <w:rPr>
          <w:rFonts w:ascii="Meiryo UI" w:eastAsia="Meiryo UI" w:hAnsi="Meiryo UI" w:cs="Meiryo UI" w:hint="eastAsia"/>
          <w:sz w:val="16"/>
          <w:szCs w:val="16"/>
        </w:rPr>
        <w:t>Comuníquese para los efectos pertinentes.</w:t>
      </w:r>
    </w:p>
    <w:p w:rsidR="00343A88" w:rsidRDefault="00343A88" w:rsidP="00D579C5">
      <w:pPr>
        <w:jc w:val="both"/>
        <w:rPr>
          <w:rFonts w:ascii="Meiryo UI" w:eastAsia="Meiryo UI" w:hAnsi="Meiryo UI" w:cs="Meiryo UI"/>
          <w:b/>
          <w:sz w:val="16"/>
          <w:szCs w:val="16"/>
        </w:rPr>
      </w:pPr>
    </w:p>
    <w:p w:rsidR="008848CD" w:rsidRPr="00343A88" w:rsidRDefault="008848CD" w:rsidP="00D579C5">
      <w:pPr>
        <w:jc w:val="both"/>
        <w:rPr>
          <w:rFonts w:ascii="Meiryo UI" w:eastAsia="Meiryo UI" w:hAnsi="Meiryo UI" w:cs="Meiryo UI"/>
          <w:b/>
          <w:sz w:val="16"/>
          <w:szCs w:val="16"/>
        </w:rPr>
      </w:pPr>
      <w:r w:rsidRPr="00343A88">
        <w:rPr>
          <w:rFonts w:ascii="Meiryo UI" w:eastAsia="Meiryo UI" w:hAnsi="Meiryo UI" w:cs="Meiryo UI"/>
          <w:b/>
          <w:sz w:val="16"/>
          <w:szCs w:val="16"/>
        </w:rPr>
        <w:t>NOTIFIQUESE</w:t>
      </w:r>
    </w:p>
    <w:p w:rsidR="00220D93" w:rsidRPr="00343A88" w:rsidRDefault="00220D93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eiryo UI" w:eastAsia="Meiryo UI" w:hAnsi="Meiryo UI" w:cs="Meiryo UI"/>
          <w:b/>
          <w:color w:val="000099"/>
          <w:sz w:val="16"/>
          <w:szCs w:val="16"/>
        </w:rPr>
      </w:pPr>
      <w:bookmarkStart w:id="0" w:name="_GoBack"/>
      <w:bookmarkEnd w:id="0"/>
    </w:p>
    <w:p w:rsidR="008848CD" w:rsidRPr="00343A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eiryo UI" w:eastAsia="Meiryo UI" w:hAnsi="Meiryo UI" w:cs="Meiryo UI"/>
          <w:b/>
          <w:color w:val="000099"/>
          <w:sz w:val="16"/>
          <w:szCs w:val="16"/>
        </w:rPr>
      </w:pPr>
      <w:r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Ana Patricia Sánchez de Cruz</w:t>
      </w:r>
    </w:p>
    <w:p w:rsidR="008848CD" w:rsidRPr="00343A88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eiryo UI" w:eastAsia="Meiryo UI" w:hAnsi="Meiryo UI" w:cs="Meiryo UI"/>
          <w:b/>
          <w:color w:val="000099"/>
          <w:sz w:val="16"/>
          <w:szCs w:val="16"/>
        </w:rPr>
      </w:pPr>
      <w:r w:rsidRPr="00343A88">
        <w:rPr>
          <w:rFonts w:ascii="Meiryo UI" w:eastAsia="Meiryo UI" w:hAnsi="Meiryo UI" w:cs="Meiryo UI"/>
          <w:b/>
          <w:color w:val="000099"/>
          <w:sz w:val="16"/>
          <w:szCs w:val="16"/>
        </w:rPr>
        <w:t>Oficial de Información MAG OIR</w:t>
      </w:r>
    </w:p>
    <w:sectPr w:rsidR="008848CD" w:rsidRPr="00343A88" w:rsidSect="003239BC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18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87" w:rsidRDefault="00161A87">
      <w:r>
        <w:separator/>
      </w:r>
    </w:p>
  </w:endnote>
  <w:endnote w:type="continuationSeparator" w:id="0">
    <w:p w:rsidR="00161A87" w:rsidRDefault="0016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0360" w:rsidRPr="00D4036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D40360" w:rsidRPr="00D40360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40360" w:rsidRPr="00D4036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D40360" w:rsidRPr="00D40360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87" w:rsidRDefault="00161A87">
      <w:r>
        <w:separator/>
      </w:r>
    </w:p>
  </w:footnote>
  <w:footnote w:type="continuationSeparator" w:id="0">
    <w:p w:rsidR="00161A87" w:rsidRDefault="00161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AD8"/>
    <w:multiLevelType w:val="hybridMultilevel"/>
    <w:tmpl w:val="472A7BE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EF2BF4"/>
    <w:multiLevelType w:val="hybridMultilevel"/>
    <w:tmpl w:val="FBD82B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384C"/>
    <w:multiLevelType w:val="hybridMultilevel"/>
    <w:tmpl w:val="25B2931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53F8"/>
    <w:multiLevelType w:val="hybridMultilevel"/>
    <w:tmpl w:val="12D83C4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96EEC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60A7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A87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25D0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F2B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9BC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3A88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2470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1AF6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5D3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21C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360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5F83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1573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52D3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iexelsalvador.gob.sv/registroSIMP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76F2-4431-437A-AF3C-B24596EA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2611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2018-05-02T20:47:00Z</cp:lastPrinted>
  <dcterms:created xsi:type="dcterms:W3CDTF">2018-05-02T20:47:00Z</dcterms:created>
  <dcterms:modified xsi:type="dcterms:W3CDTF">2018-05-02T20:48:00Z</dcterms:modified>
</cp:coreProperties>
</file>