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AC" w:rsidRDefault="001156AC" w:rsidP="001156A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8E1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Pr="00A201E9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814954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A201E9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  <w:r w:rsidR="00EE2D1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  <w:r w:rsidR="002C71C9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DE3698" w:rsidRPr="00EE2D1F" w:rsidRDefault="00714AA6" w:rsidP="006231B8">
      <w:pPr>
        <w:spacing w:after="0" w:line="240" w:lineRule="auto"/>
        <w:jc w:val="both"/>
        <w:rPr>
          <w:rFonts w:eastAsia="Arial Unicode MS" w:cs="Arial Unicode MS"/>
          <w:szCs w:val="20"/>
        </w:rPr>
      </w:pPr>
      <w:r w:rsidRPr="00EE2D1F">
        <w:rPr>
          <w:rFonts w:eastAsia="Arial Unicode MS" w:cs="Arial Unicode MS"/>
          <w:szCs w:val="20"/>
        </w:rPr>
        <w:t xml:space="preserve">Santa Tecla, </w:t>
      </w:r>
      <w:r w:rsidR="00B70104" w:rsidRPr="00EE2D1F">
        <w:rPr>
          <w:rFonts w:eastAsia="Arial Unicode MS" w:cs="Arial Unicode MS"/>
          <w:szCs w:val="20"/>
        </w:rPr>
        <w:t xml:space="preserve">departamento de La Libertad </w:t>
      </w:r>
      <w:r w:rsidRPr="00EE2D1F">
        <w:rPr>
          <w:rFonts w:eastAsia="Arial Unicode MS" w:cs="Arial Unicode MS"/>
          <w:szCs w:val="20"/>
        </w:rPr>
        <w:t xml:space="preserve">a las </w:t>
      </w:r>
      <w:r w:rsidR="00A201E9" w:rsidRPr="00EE2D1F">
        <w:rPr>
          <w:rFonts w:eastAsia="Arial Unicode MS" w:cs="Arial Unicode MS"/>
          <w:color w:val="000099"/>
          <w:szCs w:val="20"/>
        </w:rPr>
        <w:t xml:space="preserve">quince </w:t>
      </w:r>
      <w:r w:rsidR="00F900C5" w:rsidRPr="00EE2D1F">
        <w:rPr>
          <w:rFonts w:eastAsia="Arial Unicode MS" w:cs="Arial Unicode MS"/>
          <w:color w:val="000099"/>
          <w:szCs w:val="20"/>
        </w:rPr>
        <w:t>horas</w:t>
      </w:r>
      <w:r w:rsidR="00DA2389" w:rsidRPr="00EE2D1F">
        <w:rPr>
          <w:rFonts w:eastAsia="Arial Unicode MS" w:cs="Arial Unicode MS"/>
          <w:color w:val="000099"/>
          <w:szCs w:val="20"/>
        </w:rPr>
        <w:t xml:space="preserve"> </w:t>
      </w:r>
      <w:r w:rsidR="00EE2D1F" w:rsidRPr="00EE2D1F">
        <w:rPr>
          <w:rFonts w:eastAsia="Arial Unicode MS" w:cs="Arial Unicode MS"/>
          <w:color w:val="000099"/>
          <w:szCs w:val="20"/>
        </w:rPr>
        <w:t xml:space="preserve">con diez minutos </w:t>
      </w:r>
      <w:r w:rsidRPr="00EE2D1F">
        <w:rPr>
          <w:rFonts w:eastAsia="Arial Unicode MS" w:cs="Arial Unicode MS"/>
          <w:color w:val="000099"/>
          <w:szCs w:val="20"/>
        </w:rPr>
        <w:t>del día</w:t>
      </w:r>
      <w:r w:rsidR="00146E56" w:rsidRPr="00EE2D1F">
        <w:rPr>
          <w:rFonts w:eastAsia="Arial Unicode MS" w:cs="Arial Unicode MS"/>
          <w:color w:val="000099"/>
          <w:szCs w:val="20"/>
        </w:rPr>
        <w:t xml:space="preserve"> </w:t>
      </w:r>
      <w:r w:rsidR="00EE2D1F" w:rsidRPr="00EE2D1F">
        <w:rPr>
          <w:rFonts w:eastAsia="Arial Unicode MS" w:cs="Arial Unicode MS"/>
          <w:color w:val="000099"/>
          <w:szCs w:val="20"/>
        </w:rPr>
        <w:t xml:space="preserve">diecisiete </w:t>
      </w:r>
      <w:r w:rsidR="00F900C5" w:rsidRPr="00EE2D1F">
        <w:rPr>
          <w:rFonts w:eastAsia="Arial Unicode MS" w:cs="Arial Unicode MS"/>
          <w:color w:val="000099"/>
          <w:szCs w:val="20"/>
        </w:rPr>
        <w:t xml:space="preserve">de </w:t>
      </w:r>
      <w:r w:rsidR="00A201E9" w:rsidRPr="00EE2D1F">
        <w:rPr>
          <w:rFonts w:eastAsia="Arial Unicode MS" w:cs="Arial Unicode MS"/>
          <w:color w:val="000099"/>
          <w:szCs w:val="20"/>
        </w:rPr>
        <w:t xml:space="preserve">noviembre </w:t>
      </w:r>
      <w:r w:rsidR="00CB5FE0" w:rsidRPr="00EE2D1F">
        <w:rPr>
          <w:rFonts w:eastAsia="Arial Unicode MS" w:cs="Arial Unicode MS"/>
          <w:color w:val="000099"/>
          <w:szCs w:val="20"/>
        </w:rPr>
        <w:t xml:space="preserve">de </w:t>
      </w:r>
      <w:r w:rsidRPr="00EE2D1F">
        <w:rPr>
          <w:rFonts w:eastAsia="Arial Unicode MS" w:cs="Arial Unicode MS"/>
          <w:color w:val="000099"/>
          <w:szCs w:val="20"/>
        </w:rPr>
        <w:t>201</w:t>
      </w:r>
      <w:r w:rsidR="006F7815" w:rsidRPr="00EE2D1F">
        <w:rPr>
          <w:rFonts w:eastAsia="Arial Unicode MS" w:cs="Arial Unicode MS"/>
          <w:color w:val="000099"/>
          <w:szCs w:val="20"/>
        </w:rPr>
        <w:t>7</w:t>
      </w:r>
      <w:r w:rsidRPr="00EE2D1F">
        <w:rPr>
          <w:rFonts w:eastAsia="Arial Unicode MS" w:cs="Arial Unicode MS"/>
          <w:color w:val="000099"/>
          <w:szCs w:val="20"/>
        </w:rPr>
        <w:t>,</w:t>
      </w:r>
      <w:r w:rsidR="00146E56" w:rsidRPr="00EE2D1F">
        <w:rPr>
          <w:rFonts w:eastAsia="Arial Unicode MS" w:cs="Arial Unicode MS"/>
          <w:color w:val="000099"/>
          <w:szCs w:val="20"/>
        </w:rPr>
        <w:t xml:space="preserve"> </w:t>
      </w:r>
      <w:r w:rsidRPr="00EE2D1F">
        <w:rPr>
          <w:rFonts w:eastAsia="Arial Unicode MS" w:cs="Arial Unicode MS"/>
          <w:szCs w:val="20"/>
        </w:rPr>
        <w:t>el Ministerio de Agricultura y Ganadería luego de haber recibido y admitido la solicitud de información</w:t>
      </w:r>
      <w:r w:rsidR="00F63465" w:rsidRPr="00EE2D1F">
        <w:rPr>
          <w:rFonts w:eastAsia="Arial Unicode MS" w:cs="Arial Unicode MS"/>
          <w:szCs w:val="20"/>
        </w:rPr>
        <w:t xml:space="preserve"> </w:t>
      </w:r>
      <w:r w:rsidR="003F7C75" w:rsidRPr="00EE2D1F">
        <w:rPr>
          <w:rFonts w:eastAsia="Arial Unicode MS" w:cs="Arial Unicode MS"/>
          <w:b/>
          <w:color w:val="000099"/>
          <w:szCs w:val="20"/>
        </w:rPr>
        <w:t xml:space="preserve">Nº </w:t>
      </w:r>
      <w:r w:rsidR="00CB5FE0" w:rsidRPr="00EE2D1F">
        <w:rPr>
          <w:rFonts w:eastAsia="Arial Unicode MS" w:cs="Arial Unicode MS"/>
          <w:b/>
          <w:color w:val="000099"/>
          <w:szCs w:val="20"/>
        </w:rPr>
        <w:t>2</w:t>
      </w:r>
      <w:r w:rsidR="00EE2D1F" w:rsidRPr="00EE2D1F">
        <w:rPr>
          <w:rFonts w:eastAsia="Arial Unicode MS" w:cs="Arial Unicode MS"/>
          <w:b/>
          <w:color w:val="000099"/>
          <w:szCs w:val="20"/>
        </w:rPr>
        <w:t>77</w:t>
      </w:r>
      <w:r w:rsidR="006F7815" w:rsidRPr="00EE2D1F">
        <w:rPr>
          <w:rFonts w:eastAsia="Arial Unicode MS" w:cs="Arial Unicode MS"/>
          <w:b/>
          <w:color w:val="000099"/>
          <w:szCs w:val="20"/>
        </w:rPr>
        <w:t>-2017</w:t>
      </w:r>
      <w:r w:rsidR="00F63465" w:rsidRPr="00EE2D1F">
        <w:rPr>
          <w:rFonts w:eastAsia="Arial Unicode MS" w:cs="Arial Unicode MS"/>
          <w:b/>
          <w:color w:val="000099"/>
          <w:szCs w:val="20"/>
        </w:rPr>
        <w:t xml:space="preserve"> </w:t>
      </w:r>
      <w:r w:rsidRPr="00EE2D1F">
        <w:rPr>
          <w:rFonts w:eastAsia="Arial Unicode MS" w:cs="Arial Unicode MS"/>
          <w:szCs w:val="20"/>
        </w:rPr>
        <w:t>sobre:</w:t>
      </w:r>
    </w:p>
    <w:p w:rsidR="00EE2D1F" w:rsidRPr="00EE2D1F" w:rsidRDefault="00EE2D1F" w:rsidP="006231B8">
      <w:pPr>
        <w:spacing w:after="0" w:line="240" w:lineRule="auto"/>
        <w:jc w:val="both"/>
        <w:rPr>
          <w:rFonts w:eastAsia="Arial Unicode MS" w:cs="Arial Unicode MS"/>
          <w:sz w:val="16"/>
          <w:szCs w:val="20"/>
        </w:rPr>
      </w:pP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>¿Desde cuándo se entrega el paquete de semilla mejorada?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¿Cuántos paquetes de semilla mejorada y fertilizantes se han entregado </w:t>
      </w:r>
      <w:r w:rsidRPr="00EE2D1F">
        <w:rPr>
          <w:rFonts w:asciiTheme="minorHAnsi" w:hAnsiTheme="minorHAnsi" w:cstheme="minorHAnsi"/>
          <w:color w:val="000099"/>
          <w:u w:val="single"/>
        </w:rPr>
        <w:t>por año</w:t>
      </w:r>
      <w:r w:rsidRPr="00EE2D1F">
        <w:rPr>
          <w:rFonts w:asciiTheme="minorHAnsi" w:hAnsiTheme="minorHAnsi" w:cstheme="minorHAnsi"/>
          <w:color w:val="000099"/>
        </w:rPr>
        <w:t>, desde 2000 hasta 2017?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¿De dónde provenía la semilla de los paquetes antes de 2009? ¿Y después de 2009? </w:t>
      </w:r>
    </w:p>
    <w:p w:rsidR="001C4124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¿Cuánto es el ahorro en la producción interna de producción de frijol y maíz, comparando los años anteriores al 2009 </w:t>
      </w:r>
      <w:r w:rsidRPr="00EE2D1F">
        <w:rPr>
          <w:rFonts w:asciiTheme="minorHAnsi" w:hAnsiTheme="minorHAnsi" w:cstheme="minorHAnsi"/>
          <w:i/>
          <w:color w:val="000099"/>
        </w:rPr>
        <w:t>versus</w:t>
      </w:r>
      <w:r w:rsidRPr="00EE2D1F">
        <w:rPr>
          <w:rFonts w:asciiTheme="minorHAnsi" w:hAnsiTheme="minorHAnsi" w:cstheme="minorHAnsi"/>
          <w:color w:val="000099"/>
        </w:rPr>
        <w:t xml:space="preserve"> la entrada en vigencia de la entrega de semilla a los pequeños productores y la compra de semilla  a productores internos?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existía antes del Programa de Agricultura familiar para el encadenamiento productivo (o se llamaba diferente)?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¿Cuánto se invirtió en el PAF por año hasta su finalización?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¿Cuánto se invierte en el PAAF hasta el 2017?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Capacitación o transferencia tecnológica para productores agrícolas, por año, desde 2000 hasta 2017: personas beneficiadas e inversión (tanto fondos nacionales como de cooperación)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se hacía antes de 2009 con la sequía? ¿Había algún tipo de asistencia técnica? ¿Qué se hace ahora?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acciones se hacían para beneficiar al sector ganadero antes de 2009?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acciones se han hecho después de 2009 en el sector ganadero?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acciones se hacían para beneficiar al sector acuícola antes de 2009?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acciones se han hecho después de 2009 en el sector acuícola? </w:t>
      </w:r>
    </w:p>
    <w:p w:rsidR="00EE2D1F" w:rsidRPr="00EE2D1F" w:rsidRDefault="00EE2D1F" w:rsidP="00EE2D1F">
      <w:pPr>
        <w:pStyle w:val="Prrafodelista"/>
        <w:numPr>
          <w:ilvl w:val="0"/>
          <w:numId w:val="3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EE2D1F">
        <w:rPr>
          <w:rFonts w:asciiTheme="minorHAnsi" w:hAnsiTheme="minorHAnsi" w:cstheme="minorHAnsi"/>
          <w:color w:val="000099"/>
        </w:rPr>
        <w:t xml:space="preserve">¿Qué acciones se hacían para beneficiar al sector pesquero antes de 2009? </w:t>
      </w:r>
    </w:p>
    <w:p w:rsidR="00BF52AD" w:rsidRPr="00F02654" w:rsidRDefault="00EE2D1F" w:rsidP="00EE2D1F">
      <w:pPr>
        <w:pStyle w:val="Prrafodelista"/>
        <w:numPr>
          <w:ilvl w:val="0"/>
          <w:numId w:val="3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F02654">
        <w:rPr>
          <w:rFonts w:asciiTheme="minorHAnsi" w:hAnsiTheme="minorHAnsi" w:cstheme="minorHAnsi"/>
          <w:color w:val="000099"/>
        </w:rPr>
        <w:t>¿Qué acciones se han hecho después de 2009 en el sector pesquero?</w:t>
      </w:r>
    </w:p>
    <w:p w:rsidR="00F02654" w:rsidRPr="00EE2D1F" w:rsidRDefault="00F02654" w:rsidP="00F0265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7C7836" w:rsidRPr="00EE2D1F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EE2D1F">
        <w:rPr>
          <w:rFonts w:asciiTheme="minorHAnsi" w:eastAsia="Arial Unicode MS" w:hAnsiTheme="minorHAnsi" w:cstheme="minorHAnsi"/>
        </w:rPr>
        <w:t>P</w:t>
      </w:r>
      <w:r w:rsidR="00EE4B7D" w:rsidRPr="00EE2D1F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1156AC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156AC" w:rsidRPr="00D42739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proofErr w:type="spellEnd"/>
      <w:r w:rsidR="00AE672A" w:rsidRPr="00EE2D1F">
        <w:rPr>
          <w:rFonts w:asciiTheme="minorHAnsi" w:hAnsiTheme="minorHAnsi" w:cstheme="minorHAnsi"/>
          <w:b/>
          <w:color w:val="000099"/>
        </w:rPr>
        <w:t>,</w:t>
      </w:r>
      <w:r w:rsidR="00146E56" w:rsidRPr="00EE2D1F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EE2D1F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0156CF" w:rsidRPr="00EE2D1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EE2D1F">
        <w:rPr>
          <w:rFonts w:eastAsia="Arial Unicode MS" w:cs="Arial Unicode MS"/>
          <w:b/>
          <w:color w:val="000099"/>
        </w:rPr>
        <w:t>PROPORCIONAR</w:t>
      </w:r>
      <w:r w:rsidR="00AF15AA">
        <w:rPr>
          <w:rFonts w:eastAsia="Arial Unicode MS" w:cs="Arial Unicode MS"/>
          <w:b/>
          <w:color w:val="000099"/>
        </w:rPr>
        <w:t xml:space="preserve"> </w:t>
      </w:r>
      <w:r w:rsidR="00AF15AA" w:rsidRPr="00AF15AA">
        <w:rPr>
          <w:rFonts w:eastAsia="Arial Unicode MS" w:cs="Arial Unicode MS"/>
          <w:b/>
        </w:rPr>
        <w:t>PARTE DE</w:t>
      </w:r>
      <w:r w:rsidRPr="00AF15AA">
        <w:rPr>
          <w:rFonts w:eastAsia="Arial Unicode MS" w:cs="Arial Unicode MS"/>
          <w:b/>
        </w:rPr>
        <w:t xml:space="preserve"> </w:t>
      </w:r>
      <w:r w:rsidRPr="00EE2D1F">
        <w:rPr>
          <w:rFonts w:eastAsia="Arial Unicode MS" w:cs="Arial Unicode MS"/>
          <w:b/>
          <w:color w:val="000099"/>
        </w:rPr>
        <w:t>LA INFORMACIÓN SOLICITADA</w:t>
      </w:r>
    </w:p>
    <w:p w:rsidR="000156CF" w:rsidRPr="00EE2D1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AF15AA" w:rsidRDefault="00AB2AA4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EE2D1F">
        <w:rPr>
          <w:rFonts w:eastAsia="Arial Unicode MS" w:cs="Arial Unicode MS"/>
        </w:rPr>
        <w:t xml:space="preserve">Al respecto </w:t>
      </w:r>
      <w:r w:rsidR="00F02654">
        <w:rPr>
          <w:rFonts w:eastAsia="Arial Unicode MS" w:cs="Arial Unicode MS"/>
        </w:rPr>
        <w:t>se adjunta a la presente resolución un informe consolidado que contiene las respuestas a los quince requerimientos con sus respectivos anexos</w:t>
      </w:r>
      <w:r w:rsidR="00AF15AA">
        <w:rPr>
          <w:rFonts w:eastAsia="Arial Unicode MS" w:cs="Arial Unicode MS"/>
        </w:rPr>
        <w:t xml:space="preserve"> (7 en total).</w:t>
      </w:r>
    </w:p>
    <w:p w:rsidR="00AF15AA" w:rsidRDefault="00AF15AA">
      <w:pPr>
        <w:spacing w:after="0" w:line="240" w:lineRule="auto"/>
      </w:pPr>
      <w:r>
        <w:br w:type="page"/>
      </w:r>
    </w:p>
    <w:p w:rsidR="00AF15AA" w:rsidRDefault="00AF15AA" w:rsidP="00AF15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AF15AA" w:rsidRDefault="00AF15AA" w:rsidP="00AF15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>
        <w:t xml:space="preserve">La información sobre la </w:t>
      </w:r>
      <w:r w:rsidRPr="00AF15AA">
        <w:rPr>
          <w:i/>
          <w:color w:val="000099"/>
        </w:rPr>
        <w:t>entrega de paquetes agrícolas de los años anteriores al 2010, inclusive</w:t>
      </w:r>
      <w:r>
        <w:t xml:space="preserve">, </w:t>
      </w:r>
      <w:r w:rsidRPr="00136A20">
        <w:t xml:space="preserve">al respecto </w:t>
      </w:r>
      <w:r w:rsidRPr="00136A20">
        <w:rPr>
          <w:rFonts w:eastAsia="Arial Unicode MS" w:cs="Arial Unicode MS"/>
        </w:rPr>
        <w:t>después de haber analizado el fondo de lo solicitado y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AF15AA" w:rsidRPr="00136A20" w:rsidRDefault="00AF15AA" w:rsidP="00AF15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AF15AA" w:rsidRDefault="00AF15AA" w:rsidP="00AF15AA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NO ENTREGAR LA INFORMACIÓN SOLICITADA POR NO SER ESTA INSTITUCIÓN COMPETENTE PARA CONOCER DE LA MISMA</w:t>
      </w:r>
      <w:r w:rsidRPr="00136A20">
        <w:rPr>
          <w:rFonts w:eastAsia="Arial Unicode MS" w:cs="Arial Unicode MS"/>
          <w:b/>
          <w:color w:val="000099"/>
        </w:rPr>
        <w:tab/>
      </w:r>
    </w:p>
    <w:p w:rsidR="00AF15AA" w:rsidRPr="00136A20" w:rsidRDefault="00AF15AA" w:rsidP="00AF15AA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AF15AA" w:rsidRPr="00136A20" w:rsidRDefault="00AF15AA" w:rsidP="00AF15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Por lo que se recomienda consultar a la siguiente dependencia del Estado: </w:t>
      </w:r>
      <w:r w:rsidRPr="006231B8">
        <w:rPr>
          <w:rFonts w:eastAsia="Arial Unicode MS" w:cs="Arial Unicode MS"/>
          <w:b/>
          <w:color w:val="000099"/>
        </w:rPr>
        <w:t>CENTRO NACIONAL DE TECNOLOGÍA AGRÍCOLA Y FORESTAL, ENRIQUE ÁLVAREZ CÓRDOVA (CENTA</w:t>
      </w:r>
      <w:r w:rsidRPr="00136A20">
        <w:rPr>
          <w:rFonts w:eastAsia="Arial Unicode MS" w:cs="Arial Unicode MS"/>
        </w:rPr>
        <w:t xml:space="preserve">). Oficial de Información: Ingeniera Silvia Mejía Alvarado, II Nivel del Edificio Administrativo de </w:t>
      </w:r>
      <w:r w:rsidRPr="006231B8">
        <w:rPr>
          <w:rFonts w:eastAsia="Arial Unicode MS" w:cs="Arial Unicode MS"/>
          <w:b/>
        </w:rPr>
        <w:t>CENTA,</w:t>
      </w:r>
      <w:r w:rsidRPr="00136A20">
        <w:rPr>
          <w:rFonts w:eastAsia="Arial Unicode MS" w:cs="Arial Unicode MS"/>
        </w:rPr>
        <w:t xml:space="preserve">  ubicado en Km 33.5 carretera hacia Santa Ana, Valle San Andrés, </w:t>
      </w:r>
      <w:hyperlink r:id="rId9" w:history="1">
        <w:r w:rsidRPr="00136A20">
          <w:rPr>
            <w:rStyle w:val="Hipervnculo"/>
            <w:rFonts w:eastAsia="Arial Unicode MS" w:cs="Arial Unicode MS"/>
          </w:rPr>
          <w:t>oir@centa.gob.sv</w:t>
        </w:r>
      </w:hyperlink>
      <w:r w:rsidRPr="00136A20">
        <w:rPr>
          <w:rFonts w:eastAsia="Arial Unicode MS" w:cs="Arial Unicode MS"/>
        </w:rPr>
        <w:t>, Tel: (503) 2397-2291.</w:t>
      </w:r>
    </w:p>
    <w:p w:rsidR="00AF15AA" w:rsidRDefault="00AF15AA" w:rsidP="00AF15AA">
      <w:pPr>
        <w:spacing w:after="0" w:line="240" w:lineRule="auto"/>
      </w:pPr>
    </w:p>
    <w:p w:rsidR="00473086" w:rsidRDefault="00473086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Con relación a la información sobre la </w:t>
      </w:r>
      <w:r w:rsidRPr="00473086">
        <w:rPr>
          <w:rFonts w:eastAsia="Arial Unicode MS" w:cs="Arial Unicode MS"/>
          <w:i/>
          <w:color w:val="000099"/>
        </w:rPr>
        <w:t xml:space="preserve">entrega </w:t>
      </w:r>
      <w:r w:rsidRPr="00473086">
        <w:rPr>
          <w:i/>
          <w:color w:val="000099"/>
        </w:rPr>
        <w:t>d</w:t>
      </w:r>
      <w:r>
        <w:rPr>
          <w:i/>
          <w:color w:val="000099"/>
        </w:rPr>
        <w:t xml:space="preserve">e </w:t>
      </w:r>
      <w:r w:rsidRPr="00AF15AA">
        <w:rPr>
          <w:i/>
          <w:color w:val="000099"/>
        </w:rPr>
        <w:t xml:space="preserve">paquetes agrícolas de los años </w:t>
      </w:r>
      <w:r>
        <w:rPr>
          <w:i/>
          <w:color w:val="000099"/>
        </w:rPr>
        <w:t xml:space="preserve">2011 y 2012, </w:t>
      </w:r>
      <w:r w:rsidRPr="00473086">
        <w:t xml:space="preserve">es información que la posee el </w:t>
      </w:r>
      <w:r w:rsidRPr="00473086">
        <w:rPr>
          <w:b/>
          <w:color w:val="000099"/>
        </w:rPr>
        <w:t>Instituto Interamericano de Cooperación para la Agricultura-IICA</w:t>
      </w:r>
      <w:r w:rsidRPr="00473086">
        <w:t>, porque en esos años ese organismo fue el responsable de la coordinación de entrega de paquetes</w:t>
      </w:r>
      <w:r>
        <w:t>.</w:t>
      </w:r>
    </w:p>
    <w:p w:rsidR="00473086" w:rsidRDefault="00473086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AF15AA" w:rsidRPr="00AF15AA" w:rsidRDefault="00473086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No obstante se anexa a la presente solicitud información de los años 2009, 2010</w:t>
      </w:r>
      <w:r w:rsidR="00206A79">
        <w:rPr>
          <w:rFonts w:eastAsia="Arial Unicode MS" w:cs="Arial Unicode MS"/>
        </w:rPr>
        <w:t>, 2011</w:t>
      </w:r>
      <w:r>
        <w:rPr>
          <w:rFonts w:eastAsia="Arial Unicode MS" w:cs="Arial Unicode MS"/>
        </w:rPr>
        <w:t xml:space="preserve"> y 201</w:t>
      </w:r>
      <w:r w:rsidR="00206A79">
        <w:rPr>
          <w:rFonts w:eastAsia="Arial Unicode MS" w:cs="Arial Unicode MS"/>
        </w:rPr>
        <w:t>2</w:t>
      </w:r>
      <w:r>
        <w:rPr>
          <w:rFonts w:eastAsia="Arial Unicode MS" w:cs="Arial Unicode MS"/>
        </w:rPr>
        <w:t xml:space="preserve"> proporcionada por la Dirección General de Economía Agropecuaria DGEA en junio de 2017, a través de solicitud de información N° 180-2017. </w:t>
      </w:r>
    </w:p>
    <w:p w:rsidR="00AF15AA" w:rsidRDefault="00AF15AA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AB2AA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 w:rsidRPr="00AB2AA4">
        <w:rPr>
          <w:rFonts w:eastAsia="Arial Unicode MS" w:cs="Arial Unicode MS"/>
          <w:sz w:val="20"/>
          <w:szCs w:val="20"/>
        </w:rPr>
        <w:t>NOTIFIQUESE</w:t>
      </w:r>
    </w:p>
    <w:p w:rsidR="008F71C6" w:rsidRPr="00AB2AA4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0"/>
          <w:szCs w:val="20"/>
        </w:rPr>
      </w:pPr>
      <w:bookmarkStart w:id="0" w:name="_GoBack"/>
      <w:bookmarkEnd w:id="0"/>
    </w:p>
    <w:p w:rsidR="00814954" w:rsidRPr="00AB2AA4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0"/>
          <w:szCs w:val="20"/>
        </w:rPr>
      </w:pPr>
    </w:p>
    <w:p w:rsidR="0030337D" w:rsidRPr="00AB2AA4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0"/>
          <w:szCs w:val="20"/>
        </w:rPr>
      </w:pPr>
    </w:p>
    <w:p w:rsidR="008F71C6" w:rsidRPr="0047308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Cs w:val="20"/>
        </w:rPr>
      </w:pPr>
      <w:r w:rsidRPr="00473086">
        <w:rPr>
          <w:b/>
          <w:color w:val="000099"/>
          <w:szCs w:val="20"/>
          <w:lang w:val="es-ES"/>
        </w:rPr>
        <w:t>Ana Patricia Sánchez de Cruz</w:t>
      </w:r>
    </w:p>
    <w:p w:rsidR="006F7815" w:rsidRPr="0047308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Cs w:val="20"/>
        </w:rPr>
      </w:pPr>
      <w:r w:rsidRPr="00473086">
        <w:rPr>
          <w:rFonts w:cs="Calibri"/>
          <w:b/>
          <w:color w:val="000099"/>
          <w:spacing w:val="2"/>
          <w:szCs w:val="20"/>
        </w:rPr>
        <w:t>O</w:t>
      </w:r>
      <w:r w:rsidRPr="00473086">
        <w:rPr>
          <w:rFonts w:cs="Calibri"/>
          <w:b/>
          <w:color w:val="000099"/>
          <w:spacing w:val="-3"/>
          <w:szCs w:val="20"/>
        </w:rPr>
        <w:t>f</w:t>
      </w:r>
      <w:r w:rsidRPr="00473086">
        <w:rPr>
          <w:rFonts w:cs="Calibri"/>
          <w:b/>
          <w:color w:val="000099"/>
          <w:spacing w:val="3"/>
          <w:szCs w:val="20"/>
        </w:rPr>
        <w:t>i</w:t>
      </w:r>
      <w:r w:rsidRPr="00473086">
        <w:rPr>
          <w:rFonts w:cs="Calibri"/>
          <w:b/>
          <w:color w:val="000099"/>
          <w:spacing w:val="-2"/>
          <w:szCs w:val="20"/>
        </w:rPr>
        <w:t>c</w:t>
      </w:r>
      <w:r w:rsidRPr="00473086">
        <w:rPr>
          <w:rFonts w:cs="Calibri"/>
          <w:b/>
          <w:color w:val="000099"/>
          <w:spacing w:val="1"/>
          <w:szCs w:val="20"/>
        </w:rPr>
        <w:t>i</w:t>
      </w:r>
      <w:r w:rsidRPr="00473086">
        <w:rPr>
          <w:rFonts w:cs="Calibri"/>
          <w:b/>
          <w:color w:val="000099"/>
          <w:spacing w:val="-2"/>
          <w:szCs w:val="20"/>
        </w:rPr>
        <w:t>a</w:t>
      </w:r>
      <w:r w:rsidRPr="00473086">
        <w:rPr>
          <w:rFonts w:cs="Calibri"/>
          <w:b/>
          <w:color w:val="000099"/>
          <w:szCs w:val="20"/>
        </w:rPr>
        <w:t>l</w:t>
      </w:r>
      <w:r w:rsidRPr="00473086">
        <w:rPr>
          <w:rFonts w:ascii="Times New Roman" w:hAnsi="Times New Roman"/>
          <w:b/>
          <w:color w:val="000099"/>
          <w:spacing w:val="7"/>
          <w:szCs w:val="20"/>
        </w:rPr>
        <w:t xml:space="preserve"> </w:t>
      </w:r>
      <w:r w:rsidRPr="00473086">
        <w:rPr>
          <w:rFonts w:cs="Calibri"/>
          <w:b/>
          <w:color w:val="000099"/>
          <w:szCs w:val="20"/>
        </w:rPr>
        <w:t>de</w:t>
      </w:r>
      <w:r w:rsidRPr="00473086">
        <w:rPr>
          <w:rFonts w:ascii="Times New Roman" w:hAnsi="Times New Roman"/>
          <w:b/>
          <w:color w:val="000099"/>
          <w:spacing w:val="-2"/>
          <w:szCs w:val="20"/>
        </w:rPr>
        <w:t xml:space="preserve"> </w:t>
      </w:r>
      <w:r w:rsidRPr="00473086">
        <w:rPr>
          <w:rFonts w:cs="Calibri"/>
          <w:b/>
          <w:color w:val="000099"/>
          <w:spacing w:val="1"/>
          <w:szCs w:val="20"/>
        </w:rPr>
        <w:t>I</w:t>
      </w:r>
      <w:r w:rsidRPr="00473086">
        <w:rPr>
          <w:rFonts w:cs="Calibri"/>
          <w:b/>
          <w:color w:val="000099"/>
          <w:szCs w:val="20"/>
        </w:rPr>
        <w:t>n</w:t>
      </w:r>
      <w:r w:rsidRPr="00473086">
        <w:rPr>
          <w:rFonts w:cs="Calibri"/>
          <w:b/>
          <w:color w:val="000099"/>
          <w:spacing w:val="-1"/>
          <w:szCs w:val="20"/>
        </w:rPr>
        <w:t>fo</w:t>
      </w:r>
      <w:r w:rsidRPr="00473086">
        <w:rPr>
          <w:rFonts w:cs="Calibri"/>
          <w:b/>
          <w:color w:val="000099"/>
          <w:szCs w:val="20"/>
        </w:rPr>
        <w:t>r</w:t>
      </w:r>
      <w:r w:rsidRPr="00473086">
        <w:rPr>
          <w:rFonts w:cs="Calibri"/>
          <w:b/>
          <w:color w:val="000099"/>
          <w:spacing w:val="1"/>
          <w:szCs w:val="20"/>
        </w:rPr>
        <w:t>m</w:t>
      </w:r>
      <w:r w:rsidRPr="00473086">
        <w:rPr>
          <w:rFonts w:cs="Calibri"/>
          <w:b/>
          <w:color w:val="000099"/>
          <w:spacing w:val="-2"/>
          <w:szCs w:val="20"/>
        </w:rPr>
        <w:t>ac</w:t>
      </w:r>
      <w:r w:rsidRPr="00473086">
        <w:rPr>
          <w:rFonts w:cs="Calibri"/>
          <w:b/>
          <w:color w:val="000099"/>
          <w:spacing w:val="1"/>
          <w:szCs w:val="20"/>
        </w:rPr>
        <w:t>i</w:t>
      </w:r>
      <w:r w:rsidRPr="00473086">
        <w:rPr>
          <w:rFonts w:cs="Calibri"/>
          <w:b/>
          <w:color w:val="000099"/>
          <w:spacing w:val="-1"/>
          <w:szCs w:val="20"/>
        </w:rPr>
        <w:t>ó</w:t>
      </w:r>
      <w:r w:rsidRPr="00473086">
        <w:rPr>
          <w:rFonts w:cs="Calibri"/>
          <w:b/>
          <w:color w:val="000099"/>
          <w:szCs w:val="20"/>
        </w:rPr>
        <w:t>n</w:t>
      </w:r>
      <w:r w:rsidRPr="00473086">
        <w:rPr>
          <w:rFonts w:ascii="Times New Roman" w:hAnsi="Times New Roman"/>
          <w:b/>
          <w:color w:val="000099"/>
          <w:spacing w:val="16"/>
          <w:szCs w:val="20"/>
        </w:rPr>
        <w:t xml:space="preserve"> </w:t>
      </w:r>
      <w:r w:rsidRPr="00473086">
        <w:rPr>
          <w:rFonts w:cs="Calibri"/>
          <w:b/>
          <w:color w:val="000099"/>
          <w:spacing w:val="3"/>
          <w:w w:val="102"/>
          <w:szCs w:val="20"/>
        </w:rPr>
        <w:t>I</w:t>
      </w:r>
      <w:r w:rsidRPr="00473086">
        <w:rPr>
          <w:rFonts w:cs="Calibri"/>
          <w:b/>
          <w:color w:val="000099"/>
          <w:spacing w:val="-3"/>
          <w:w w:val="102"/>
          <w:szCs w:val="20"/>
        </w:rPr>
        <w:t>n</w:t>
      </w:r>
      <w:r w:rsidRPr="00473086">
        <w:rPr>
          <w:rFonts w:cs="Calibri"/>
          <w:b/>
          <w:color w:val="000099"/>
          <w:w w:val="102"/>
          <w:szCs w:val="20"/>
        </w:rPr>
        <w:t>st</w:t>
      </w:r>
      <w:r w:rsidRPr="00473086">
        <w:rPr>
          <w:rFonts w:cs="Calibri"/>
          <w:b/>
          <w:color w:val="000099"/>
          <w:spacing w:val="-1"/>
          <w:w w:val="102"/>
          <w:szCs w:val="20"/>
        </w:rPr>
        <w:t>i</w:t>
      </w:r>
      <w:r w:rsidRPr="00473086">
        <w:rPr>
          <w:rFonts w:cs="Calibri"/>
          <w:b/>
          <w:color w:val="000099"/>
          <w:w w:val="102"/>
          <w:szCs w:val="20"/>
        </w:rPr>
        <w:t>tu</w:t>
      </w:r>
      <w:r w:rsidRPr="00473086">
        <w:rPr>
          <w:rFonts w:cs="Calibri"/>
          <w:b/>
          <w:color w:val="000099"/>
          <w:spacing w:val="-2"/>
          <w:w w:val="102"/>
          <w:szCs w:val="20"/>
        </w:rPr>
        <w:t>c</w:t>
      </w:r>
      <w:r w:rsidRPr="00473086">
        <w:rPr>
          <w:rFonts w:cs="Calibri"/>
          <w:b/>
          <w:color w:val="000099"/>
          <w:spacing w:val="1"/>
          <w:w w:val="102"/>
          <w:szCs w:val="20"/>
        </w:rPr>
        <w:t>i</w:t>
      </w:r>
      <w:r w:rsidRPr="00473086">
        <w:rPr>
          <w:rFonts w:cs="Calibri"/>
          <w:b/>
          <w:color w:val="000099"/>
          <w:spacing w:val="-1"/>
          <w:w w:val="102"/>
          <w:szCs w:val="20"/>
        </w:rPr>
        <w:t>o</w:t>
      </w:r>
      <w:r w:rsidRPr="00473086">
        <w:rPr>
          <w:rFonts w:cs="Calibri"/>
          <w:b/>
          <w:color w:val="000099"/>
          <w:w w:val="102"/>
          <w:szCs w:val="20"/>
        </w:rPr>
        <w:t>nal</w:t>
      </w:r>
    </w:p>
    <w:sectPr w:rsidR="006F7815" w:rsidRPr="00473086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B0" w:rsidRDefault="002074B0" w:rsidP="00F425A5">
      <w:pPr>
        <w:spacing w:after="0" w:line="240" w:lineRule="auto"/>
      </w:pPr>
      <w:r>
        <w:separator/>
      </w:r>
    </w:p>
  </w:endnote>
  <w:endnote w:type="continuationSeparator" w:id="0">
    <w:p w:rsidR="002074B0" w:rsidRDefault="002074B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94A0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94A0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94A0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94A0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B0" w:rsidRDefault="002074B0" w:rsidP="00F425A5">
      <w:pPr>
        <w:spacing w:after="0" w:line="240" w:lineRule="auto"/>
      </w:pPr>
      <w:r>
        <w:separator/>
      </w:r>
    </w:p>
  </w:footnote>
  <w:footnote w:type="continuationSeparator" w:id="0">
    <w:p w:rsidR="002074B0" w:rsidRDefault="002074B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4697E"/>
    <w:multiLevelType w:val="hybridMultilevel"/>
    <w:tmpl w:val="B06C9B04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80016"/>
    <w:multiLevelType w:val="hybridMultilevel"/>
    <w:tmpl w:val="DFA2CF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EE3455"/>
    <w:multiLevelType w:val="hybridMultilevel"/>
    <w:tmpl w:val="D8D283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A1CAD"/>
    <w:multiLevelType w:val="hybridMultilevel"/>
    <w:tmpl w:val="A06239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34CF1"/>
    <w:multiLevelType w:val="hybridMultilevel"/>
    <w:tmpl w:val="1DF0D3D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7"/>
  </w:num>
  <w:num w:numId="5">
    <w:abstractNumId w:val="31"/>
  </w:num>
  <w:num w:numId="6">
    <w:abstractNumId w:val="16"/>
  </w:num>
  <w:num w:numId="7">
    <w:abstractNumId w:val="22"/>
  </w:num>
  <w:num w:numId="8">
    <w:abstractNumId w:val="2"/>
  </w:num>
  <w:num w:numId="9">
    <w:abstractNumId w:val="37"/>
  </w:num>
  <w:num w:numId="10">
    <w:abstractNumId w:val="30"/>
  </w:num>
  <w:num w:numId="11">
    <w:abstractNumId w:val="11"/>
  </w:num>
  <w:num w:numId="12">
    <w:abstractNumId w:val="18"/>
  </w:num>
  <w:num w:numId="13">
    <w:abstractNumId w:val="32"/>
  </w:num>
  <w:num w:numId="14">
    <w:abstractNumId w:val="3"/>
  </w:num>
  <w:num w:numId="15">
    <w:abstractNumId w:val="23"/>
  </w:num>
  <w:num w:numId="16">
    <w:abstractNumId w:val="24"/>
  </w:num>
  <w:num w:numId="17">
    <w:abstractNumId w:val="4"/>
  </w:num>
  <w:num w:numId="18">
    <w:abstractNumId w:val="8"/>
  </w:num>
  <w:num w:numId="19">
    <w:abstractNumId w:val="33"/>
  </w:num>
  <w:num w:numId="20">
    <w:abstractNumId w:val="15"/>
  </w:num>
  <w:num w:numId="21">
    <w:abstractNumId w:val="29"/>
  </w:num>
  <w:num w:numId="22">
    <w:abstractNumId w:val="13"/>
  </w:num>
  <w:num w:numId="23">
    <w:abstractNumId w:val="26"/>
  </w:num>
  <w:num w:numId="24">
    <w:abstractNumId w:val="35"/>
  </w:num>
  <w:num w:numId="25">
    <w:abstractNumId w:val="5"/>
  </w:num>
  <w:num w:numId="26">
    <w:abstractNumId w:val="14"/>
  </w:num>
  <w:num w:numId="27">
    <w:abstractNumId w:val="19"/>
  </w:num>
  <w:num w:numId="28">
    <w:abstractNumId w:val="27"/>
  </w:num>
  <w:num w:numId="29">
    <w:abstractNumId w:val="12"/>
  </w:num>
  <w:num w:numId="30">
    <w:abstractNumId w:val="25"/>
  </w:num>
  <w:num w:numId="31">
    <w:abstractNumId w:val="34"/>
  </w:num>
  <w:num w:numId="32">
    <w:abstractNumId w:val="21"/>
  </w:num>
  <w:num w:numId="33">
    <w:abstractNumId w:val="1"/>
  </w:num>
  <w:num w:numId="34">
    <w:abstractNumId w:val="28"/>
  </w:num>
  <w:num w:numId="35">
    <w:abstractNumId w:val="36"/>
  </w:num>
  <w:num w:numId="36">
    <w:abstractNumId w:val="6"/>
  </w:num>
  <w:num w:numId="37">
    <w:abstractNumId w:val="9"/>
  </w:num>
  <w:num w:numId="3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6AC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0359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4124"/>
    <w:rsid w:val="001D4A3E"/>
    <w:rsid w:val="001E6490"/>
    <w:rsid w:val="001F25AD"/>
    <w:rsid w:val="001F3808"/>
    <w:rsid w:val="001F75CE"/>
    <w:rsid w:val="002027A5"/>
    <w:rsid w:val="00206A79"/>
    <w:rsid w:val="002074B0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4E08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3086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1BEA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5354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57925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A07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1E9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2AA4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15AA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42739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2D1F"/>
    <w:rsid w:val="00EE4B7D"/>
    <w:rsid w:val="00EE6204"/>
    <w:rsid w:val="00EE6C03"/>
    <w:rsid w:val="00EF29C3"/>
    <w:rsid w:val="00EF6AFD"/>
    <w:rsid w:val="00EF6BEA"/>
    <w:rsid w:val="00EF6D03"/>
    <w:rsid w:val="00EF7AD3"/>
    <w:rsid w:val="00F02654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96557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88B6-7CA3-4255-AEBD-1DE3CA7F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2017-11-17T22:16:00Z</cp:lastPrinted>
  <dcterms:created xsi:type="dcterms:W3CDTF">2017-11-17T22:05:00Z</dcterms:created>
  <dcterms:modified xsi:type="dcterms:W3CDTF">2017-11-17T22:18:00Z</dcterms:modified>
</cp:coreProperties>
</file>