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AC" w:rsidRDefault="00EB34A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760B2" w:rsidRDefault="00D760B2" w:rsidP="00D760B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760B2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u w:val="single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300BE1" w:rsidRDefault="00300BE1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D4076A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30337D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136A20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FE0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BF52AD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</w:t>
      </w:r>
      <w:r w:rsidR="00D4076A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3</w:t>
      </w:r>
      <w:r w:rsidR="002C71C9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F7815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7C7836" w:rsidRPr="00E71EDF" w:rsidRDefault="007C7836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300BE1" w:rsidRDefault="00300BE1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B57E50" w:rsidRDefault="00714AA6" w:rsidP="00B57E50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B57E50">
        <w:rPr>
          <w:rFonts w:asciiTheme="minorHAnsi" w:eastAsia="Arial Unicode MS" w:hAnsiTheme="minorHAnsi" w:cstheme="minorHAnsi"/>
        </w:rPr>
        <w:t xml:space="preserve">Santa Tecla, </w:t>
      </w:r>
      <w:r w:rsidR="00B70104" w:rsidRPr="00B57E50">
        <w:rPr>
          <w:rFonts w:asciiTheme="minorHAnsi" w:eastAsia="Arial Unicode MS" w:hAnsiTheme="minorHAnsi" w:cstheme="minorHAnsi"/>
        </w:rPr>
        <w:t xml:space="preserve">departamento de La Libertad </w:t>
      </w:r>
      <w:r w:rsidRPr="00B57E50">
        <w:rPr>
          <w:rFonts w:asciiTheme="minorHAnsi" w:eastAsia="Arial Unicode MS" w:hAnsiTheme="minorHAnsi" w:cstheme="minorHAnsi"/>
        </w:rPr>
        <w:t xml:space="preserve">a las </w:t>
      </w:r>
      <w:r w:rsidR="00F900C5" w:rsidRPr="00B57E50">
        <w:rPr>
          <w:rFonts w:asciiTheme="minorHAnsi" w:eastAsia="Arial Unicode MS" w:hAnsiTheme="minorHAnsi" w:cstheme="minorHAnsi"/>
        </w:rPr>
        <w:t xml:space="preserve">dieciséis </w:t>
      </w:r>
      <w:r w:rsidR="00F900C5" w:rsidRPr="00B57E50">
        <w:rPr>
          <w:rFonts w:asciiTheme="minorHAnsi" w:eastAsia="Arial Unicode MS" w:hAnsiTheme="minorHAnsi" w:cstheme="minorHAnsi"/>
          <w:color w:val="000099"/>
        </w:rPr>
        <w:t>horas</w:t>
      </w:r>
      <w:r w:rsidR="00DA2389" w:rsidRPr="00B57E50">
        <w:rPr>
          <w:rFonts w:asciiTheme="minorHAnsi" w:eastAsia="Arial Unicode MS" w:hAnsiTheme="minorHAnsi" w:cstheme="minorHAnsi"/>
          <w:color w:val="000099"/>
        </w:rPr>
        <w:t xml:space="preserve"> con </w:t>
      </w:r>
      <w:r w:rsidR="00BF52AD" w:rsidRPr="00B57E50">
        <w:rPr>
          <w:rFonts w:asciiTheme="minorHAnsi" w:eastAsia="Arial Unicode MS" w:hAnsiTheme="minorHAnsi" w:cstheme="minorHAnsi"/>
          <w:color w:val="000099"/>
        </w:rPr>
        <w:t xml:space="preserve">ocho </w:t>
      </w:r>
      <w:r w:rsidR="00DA2389" w:rsidRPr="00B57E50">
        <w:rPr>
          <w:rFonts w:asciiTheme="minorHAnsi" w:eastAsia="Arial Unicode MS" w:hAnsiTheme="minorHAnsi" w:cstheme="minorHAnsi"/>
          <w:color w:val="000099"/>
        </w:rPr>
        <w:t xml:space="preserve">minutos </w:t>
      </w:r>
      <w:r w:rsidRPr="00B57E50">
        <w:rPr>
          <w:rFonts w:asciiTheme="minorHAnsi" w:eastAsia="Arial Unicode MS" w:hAnsiTheme="minorHAnsi" w:cstheme="minorHAnsi"/>
          <w:color w:val="000099"/>
        </w:rPr>
        <w:t>del día</w:t>
      </w:r>
      <w:r w:rsidR="00146E56" w:rsidRPr="00B57E50">
        <w:rPr>
          <w:rFonts w:asciiTheme="minorHAnsi" w:eastAsia="Arial Unicode MS" w:hAnsiTheme="minorHAnsi" w:cstheme="minorHAnsi"/>
          <w:color w:val="000099"/>
        </w:rPr>
        <w:t xml:space="preserve"> </w:t>
      </w:r>
      <w:r w:rsidR="00F900C5" w:rsidRPr="00B57E50">
        <w:rPr>
          <w:rFonts w:asciiTheme="minorHAnsi" w:eastAsia="Arial Unicode MS" w:hAnsiTheme="minorHAnsi" w:cstheme="minorHAnsi"/>
          <w:color w:val="000099"/>
        </w:rPr>
        <w:t>tres de octubre</w:t>
      </w:r>
      <w:r w:rsidR="006F6B4D" w:rsidRPr="00B57E50">
        <w:rPr>
          <w:rFonts w:asciiTheme="minorHAnsi" w:eastAsia="Arial Unicode MS" w:hAnsiTheme="minorHAnsi" w:cstheme="minorHAnsi"/>
          <w:color w:val="000099"/>
        </w:rPr>
        <w:t xml:space="preserve"> </w:t>
      </w:r>
      <w:r w:rsidR="00CB5FE0" w:rsidRPr="00B57E50">
        <w:rPr>
          <w:rFonts w:asciiTheme="minorHAnsi" w:eastAsia="Arial Unicode MS" w:hAnsiTheme="minorHAnsi" w:cstheme="minorHAnsi"/>
          <w:color w:val="000099"/>
        </w:rPr>
        <w:t xml:space="preserve">de </w:t>
      </w:r>
      <w:r w:rsidRPr="00B57E50">
        <w:rPr>
          <w:rFonts w:asciiTheme="minorHAnsi" w:eastAsia="Arial Unicode MS" w:hAnsiTheme="minorHAnsi" w:cstheme="minorHAnsi"/>
          <w:color w:val="000099"/>
        </w:rPr>
        <w:t>201</w:t>
      </w:r>
      <w:r w:rsidR="006F7815" w:rsidRPr="00B57E50">
        <w:rPr>
          <w:rFonts w:asciiTheme="minorHAnsi" w:eastAsia="Arial Unicode MS" w:hAnsiTheme="minorHAnsi" w:cstheme="minorHAnsi"/>
          <w:color w:val="000099"/>
        </w:rPr>
        <w:t>7</w:t>
      </w:r>
      <w:r w:rsidRPr="00B57E50">
        <w:rPr>
          <w:rFonts w:asciiTheme="minorHAnsi" w:eastAsia="Arial Unicode MS" w:hAnsiTheme="minorHAnsi" w:cstheme="minorHAnsi"/>
          <w:color w:val="000099"/>
        </w:rPr>
        <w:t>,</w:t>
      </w:r>
      <w:r w:rsidR="00146E56" w:rsidRPr="00B57E50">
        <w:rPr>
          <w:rFonts w:asciiTheme="minorHAnsi" w:eastAsia="Arial Unicode MS" w:hAnsiTheme="minorHAnsi" w:cstheme="minorHAnsi"/>
          <w:color w:val="000099"/>
        </w:rPr>
        <w:t xml:space="preserve"> </w:t>
      </w:r>
      <w:r w:rsidRPr="00B57E50">
        <w:rPr>
          <w:rFonts w:asciiTheme="minorHAnsi" w:eastAsia="Arial Unicode MS" w:hAnsiTheme="minorHAnsi" w:cstheme="minorHAnsi"/>
        </w:rPr>
        <w:t>el Ministerio de Agricultura y Ganadería luego de haber recibido y admitido la solicitud de información</w:t>
      </w:r>
      <w:r w:rsidR="00F63465" w:rsidRPr="00B57E50">
        <w:rPr>
          <w:rFonts w:asciiTheme="minorHAnsi" w:eastAsia="Arial Unicode MS" w:hAnsiTheme="minorHAnsi" w:cstheme="minorHAnsi"/>
        </w:rPr>
        <w:t xml:space="preserve"> </w:t>
      </w:r>
      <w:r w:rsidR="003F7C75" w:rsidRPr="00B57E50">
        <w:rPr>
          <w:rFonts w:asciiTheme="minorHAnsi" w:eastAsia="Arial Unicode MS" w:hAnsiTheme="minorHAnsi" w:cstheme="minorHAnsi"/>
          <w:b/>
          <w:color w:val="000099"/>
        </w:rPr>
        <w:t xml:space="preserve">Nº </w:t>
      </w:r>
      <w:r w:rsidR="00CB5FE0" w:rsidRPr="00B57E50">
        <w:rPr>
          <w:rFonts w:asciiTheme="minorHAnsi" w:eastAsia="Arial Unicode MS" w:hAnsiTheme="minorHAnsi" w:cstheme="minorHAnsi"/>
          <w:b/>
          <w:color w:val="000099"/>
        </w:rPr>
        <w:t>2</w:t>
      </w:r>
      <w:r w:rsidR="00BF52AD" w:rsidRPr="00B57E50">
        <w:rPr>
          <w:rFonts w:asciiTheme="minorHAnsi" w:eastAsia="Arial Unicode MS" w:hAnsiTheme="minorHAnsi" w:cstheme="minorHAnsi"/>
          <w:b/>
          <w:color w:val="000099"/>
        </w:rPr>
        <w:t>5</w:t>
      </w:r>
      <w:r w:rsidR="00F900C5" w:rsidRPr="00B57E50">
        <w:rPr>
          <w:rFonts w:asciiTheme="minorHAnsi" w:eastAsia="Arial Unicode MS" w:hAnsiTheme="minorHAnsi" w:cstheme="minorHAnsi"/>
          <w:b/>
          <w:color w:val="000099"/>
        </w:rPr>
        <w:t>3</w:t>
      </w:r>
      <w:r w:rsidR="006F7815" w:rsidRPr="00B57E50">
        <w:rPr>
          <w:rFonts w:asciiTheme="minorHAnsi" w:eastAsia="Arial Unicode MS" w:hAnsiTheme="minorHAnsi" w:cstheme="minorHAnsi"/>
          <w:b/>
          <w:color w:val="000099"/>
        </w:rPr>
        <w:t>-2017</w:t>
      </w:r>
      <w:r w:rsidR="00F63465" w:rsidRPr="00B57E50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B57E50">
        <w:rPr>
          <w:rFonts w:asciiTheme="minorHAnsi" w:eastAsia="Arial Unicode MS" w:hAnsiTheme="minorHAnsi" w:cstheme="minorHAnsi"/>
        </w:rPr>
        <w:t>sobre:</w:t>
      </w:r>
    </w:p>
    <w:p w:rsidR="00BF52AD" w:rsidRPr="00B57E50" w:rsidRDefault="00BF52AD" w:rsidP="00B57E50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lang w:eastAsia="en-US"/>
        </w:rPr>
      </w:pPr>
    </w:p>
    <w:p w:rsidR="00F900C5" w:rsidRPr="00B57E50" w:rsidRDefault="00F900C5" w:rsidP="00B57E5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B57E50">
        <w:rPr>
          <w:rFonts w:asciiTheme="minorHAnsi" w:eastAsia="Arial Unicode MS" w:hAnsiTheme="minorHAnsi" w:cstheme="minorHAnsi"/>
          <w:color w:val="000099"/>
        </w:rPr>
        <w:t>Información sobre número de hectáreas afectadas de plaga del Gorgojo descortezador, surgido en el Departamento de Chalatenango durante el presente año (específicamente en la zona conocida como "La Montañona").</w:t>
      </w:r>
    </w:p>
    <w:p w:rsidR="007C7836" w:rsidRPr="00B57E50" w:rsidRDefault="007C7836" w:rsidP="00B57E5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lang w:val="x-none"/>
        </w:rPr>
      </w:pPr>
    </w:p>
    <w:p w:rsidR="007C7836" w:rsidRPr="00B57E50" w:rsidRDefault="00BE0B9D" w:rsidP="00B57E5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B57E50">
        <w:rPr>
          <w:rFonts w:asciiTheme="minorHAnsi" w:eastAsia="Arial Unicode MS" w:hAnsiTheme="minorHAnsi" w:cstheme="minorHAnsi"/>
        </w:rPr>
        <w:t>P</w:t>
      </w:r>
      <w:r w:rsidR="00EE4B7D" w:rsidRPr="00B57E50">
        <w:rPr>
          <w:rFonts w:asciiTheme="minorHAnsi" w:eastAsia="Arial Unicode MS" w:hAnsiTheme="minorHAnsi" w:cstheme="minorHAnsi"/>
        </w:rPr>
        <w:t>resentada ante la Oficina de Información y Respuesta de esta dep</w:t>
      </w:r>
      <w:bookmarkStart w:id="0" w:name="_GoBack"/>
      <w:bookmarkEnd w:id="0"/>
      <w:r w:rsidR="00EE4B7D" w:rsidRPr="00B57E50">
        <w:rPr>
          <w:rFonts w:asciiTheme="minorHAnsi" w:eastAsia="Arial Unicode MS" w:hAnsiTheme="minorHAnsi" w:cstheme="minorHAnsi"/>
        </w:rPr>
        <w:t>endencia por parte de</w:t>
      </w:r>
      <w:r w:rsidR="002B446B" w:rsidRPr="00B57E50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B57E50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D760B2" w:rsidRPr="00B57E50">
        <w:rPr>
          <w:rFonts w:asciiTheme="minorHAnsi" w:eastAsia="Arial Unicode MS" w:hAnsiTheme="minorHAnsi" w:cstheme="minorHAnsi"/>
          <w:b/>
          <w:color w:val="000099"/>
          <w:highlight w:val="darkBlue"/>
        </w:rPr>
        <w:t>xxxxxx</w:t>
      </w:r>
      <w:proofErr w:type="spellEnd"/>
      <w:r w:rsidR="00AE672A" w:rsidRPr="00B57E50">
        <w:rPr>
          <w:rFonts w:asciiTheme="minorHAnsi" w:hAnsiTheme="minorHAnsi" w:cstheme="minorHAnsi"/>
          <w:b/>
          <w:color w:val="000099"/>
        </w:rPr>
        <w:t>,</w:t>
      </w:r>
      <w:r w:rsidR="00146E56" w:rsidRPr="00B57E50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B57E50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B57E50" w:rsidRDefault="008F71C6" w:rsidP="00B57E50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</w:p>
    <w:p w:rsidR="000156CF" w:rsidRPr="00B57E50" w:rsidRDefault="000156CF" w:rsidP="00B57E50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B57E50">
        <w:rPr>
          <w:rFonts w:asciiTheme="minorHAnsi" w:eastAsia="Arial Unicode MS" w:hAnsiTheme="minorHAnsi" w:cstheme="minorHAnsi"/>
          <w:b/>
          <w:color w:val="000099"/>
        </w:rPr>
        <w:t>PROPORCIONAR LA INFORMACIÓN SOLICITADA</w:t>
      </w:r>
    </w:p>
    <w:p w:rsidR="000156CF" w:rsidRPr="00B57E50" w:rsidRDefault="000156CF" w:rsidP="00B57E50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theme="minorHAnsi"/>
        </w:rPr>
      </w:pPr>
    </w:p>
    <w:p w:rsidR="00F900C5" w:rsidRPr="00B57E50" w:rsidRDefault="00F900C5" w:rsidP="00B57E5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B57E50">
        <w:rPr>
          <w:rFonts w:asciiTheme="minorHAnsi" w:eastAsia="Arial Unicode MS" w:hAnsiTheme="minorHAnsi" w:cstheme="minorHAnsi"/>
        </w:rPr>
        <w:t xml:space="preserve">Al respecto se informa que </w:t>
      </w:r>
      <w:r w:rsidR="00300BE1" w:rsidRPr="00B57E50">
        <w:rPr>
          <w:rFonts w:asciiTheme="minorHAnsi" w:eastAsia="Arial Unicode MS" w:hAnsiTheme="minorHAnsi" w:cstheme="minorHAnsi"/>
        </w:rPr>
        <w:t>el n</w:t>
      </w:r>
      <w:r w:rsidRPr="00B57E50">
        <w:rPr>
          <w:rFonts w:asciiTheme="minorHAnsi" w:eastAsia="Arial Unicode MS" w:hAnsiTheme="minorHAnsi" w:cstheme="minorHAnsi"/>
        </w:rPr>
        <w:t xml:space="preserve">úmero de hectáreas afectadas </w:t>
      </w:r>
      <w:r w:rsidR="00300BE1" w:rsidRPr="00B57E50">
        <w:rPr>
          <w:rFonts w:asciiTheme="minorHAnsi" w:eastAsia="Arial Unicode MS" w:hAnsiTheme="minorHAnsi" w:cstheme="minorHAnsi"/>
        </w:rPr>
        <w:t xml:space="preserve">por la </w:t>
      </w:r>
      <w:r w:rsidRPr="00B57E50">
        <w:rPr>
          <w:rFonts w:asciiTheme="minorHAnsi" w:eastAsia="Arial Unicode MS" w:hAnsiTheme="minorHAnsi" w:cstheme="minorHAnsi"/>
        </w:rPr>
        <w:t>plaga del gorgojo descortezador, surgido en el</w:t>
      </w:r>
      <w:r w:rsidR="00300BE1" w:rsidRPr="00B57E50">
        <w:rPr>
          <w:rFonts w:asciiTheme="minorHAnsi" w:eastAsia="Arial Unicode MS" w:hAnsiTheme="minorHAnsi" w:cstheme="minorHAnsi"/>
        </w:rPr>
        <w:t xml:space="preserve"> </w:t>
      </w:r>
      <w:r w:rsidR="00397BE4" w:rsidRPr="00B57E50">
        <w:rPr>
          <w:rFonts w:asciiTheme="minorHAnsi" w:eastAsia="Arial Unicode MS" w:hAnsiTheme="minorHAnsi" w:cstheme="minorHAnsi"/>
        </w:rPr>
        <w:t>d</w:t>
      </w:r>
      <w:r w:rsidRPr="00B57E50">
        <w:rPr>
          <w:rFonts w:asciiTheme="minorHAnsi" w:eastAsia="Arial Unicode MS" w:hAnsiTheme="minorHAnsi" w:cstheme="minorHAnsi"/>
        </w:rPr>
        <w:t>epartamento de Chalatenango durante el presente año</w:t>
      </w:r>
      <w:r w:rsidR="00300BE1" w:rsidRPr="00B57E50">
        <w:rPr>
          <w:rFonts w:asciiTheme="minorHAnsi" w:eastAsia="Arial Unicode MS" w:hAnsiTheme="minorHAnsi" w:cstheme="minorHAnsi"/>
        </w:rPr>
        <w:t xml:space="preserve">, </w:t>
      </w:r>
      <w:r w:rsidRPr="00B57E50">
        <w:rPr>
          <w:rFonts w:asciiTheme="minorHAnsi" w:eastAsia="Arial Unicode MS" w:hAnsiTheme="minorHAnsi" w:cstheme="minorHAnsi"/>
        </w:rPr>
        <w:t>específicamente en la zona</w:t>
      </w:r>
      <w:r w:rsidR="00300BE1" w:rsidRPr="00B57E50">
        <w:rPr>
          <w:rFonts w:asciiTheme="minorHAnsi" w:eastAsia="Arial Unicode MS" w:hAnsiTheme="minorHAnsi" w:cstheme="minorHAnsi"/>
        </w:rPr>
        <w:t xml:space="preserve"> </w:t>
      </w:r>
      <w:r w:rsidRPr="00B57E50">
        <w:rPr>
          <w:rFonts w:asciiTheme="minorHAnsi" w:eastAsia="Arial Unicode MS" w:hAnsiTheme="minorHAnsi" w:cstheme="minorHAnsi"/>
        </w:rPr>
        <w:t>conocida como "La Montañona"</w:t>
      </w:r>
      <w:r w:rsidR="00300BE1" w:rsidRPr="00B57E50">
        <w:rPr>
          <w:rFonts w:asciiTheme="minorHAnsi" w:eastAsia="Arial Unicode MS" w:hAnsiTheme="minorHAnsi" w:cstheme="minorHAnsi"/>
        </w:rPr>
        <w:t xml:space="preserve">, corresponde a un </w:t>
      </w:r>
      <w:r w:rsidRPr="00B57E50">
        <w:rPr>
          <w:rFonts w:asciiTheme="minorHAnsi" w:eastAsia="Arial Unicode MS" w:hAnsiTheme="minorHAnsi" w:cstheme="minorHAnsi"/>
        </w:rPr>
        <w:t>área total de 8.46 hectáreas.</w:t>
      </w:r>
    </w:p>
    <w:p w:rsidR="008F71C6" w:rsidRPr="00F900C5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  <w:lang w:val="x-none"/>
        </w:rPr>
      </w:pP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Pr="008F71C6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DB" w:rsidRDefault="00BA20DB" w:rsidP="00F425A5">
      <w:pPr>
        <w:spacing w:after="0" w:line="240" w:lineRule="auto"/>
      </w:pPr>
      <w:r>
        <w:separator/>
      </w:r>
    </w:p>
  </w:endnote>
  <w:endnote w:type="continuationSeparator" w:id="0">
    <w:p w:rsidR="00BA20DB" w:rsidRDefault="00BA20D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57E5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57E5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57E5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57E5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DB" w:rsidRDefault="00BA20DB" w:rsidP="00F425A5">
      <w:pPr>
        <w:spacing w:after="0" w:line="240" w:lineRule="auto"/>
      </w:pPr>
      <w:r>
        <w:separator/>
      </w:r>
    </w:p>
  </w:footnote>
  <w:footnote w:type="continuationSeparator" w:id="0">
    <w:p w:rsidR="00BA20DB" w:rsidRDefault="00BA20D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</w:num>
  <w:num w:numId="5">
    <w:abstractNumId w:val="25"/>
  </w:num>
  <w:num w:numId="6">
    <w:abstractNumId w:val="13"/>
  </w:num>
  <w:num w:numId="7">
    <w:abstractNumId w:val="17"/>
  </w:num>
  <w:num w:numId="8">
    <w:abstractNumId w:val="1"/>
  </w:num>
  <w:num w:numId="9">
    <w:abstractNumId w:val="30"/>
  </w:num>
  <w:num w:numId="10">
    <w:abstractNumId w:val="24"/>
  </w:num>
  <w:num w:numId="11">
    <w:abstractNumId w:val="8"/>
  </w:num>
  <w:num w:numId="12">
    <w:abstractNumId w:val="15"/>
  </w:num>
  <w:num w:numId="13">
    <w:abstractNumId w:val="26"/>
  </w:num>
  <w:num w:numId="14">
    <w:abstractNumId w:val="2"/>
  </w:num>
  <w:num w:numId="15">
    <w:abstractNumId w:val="18"/>
  </w:num>
  <w:num w:numId="16">
    <w:abstractNumId w:val="19"/>
  </w:num>
  <w:num w:numId="17">
    <w:abstractNumId w:val="3"/>
  </w:num>
  <w:num w:numId="18">
    <w:abstractNumId w:val="6"/>
  </w:num>
  <w:num w:numId="19">
    <w:abstractNumId w:val="27"/>
  </w:num>
  <w:num w:numId="20">
    <w:abstractNumId w:val="12"/>
  </w:num>
  <w:num w:numId="21">
    <w:abstractNumId w:val="23"/>
  </w:num>
  <w:num w:numId="22">
    <w:abstractNumId w:val="10"/>
  </w:num>
  <w:num w:numId="23">
    <w:abstractNumId w:val="21"/>
  </w:num>
  <w:num w:numId="24">
    <w:abstractNumId w:val="29"/>
  </w:num>
  <w:num w:numId="25">
    <w:abstractNumId w:val="4"/>
  </w:num>
  <w:num w:numId="26">
    <w:abstractNumId w:val="11"/>
  </w:num>
  <w:num w:numId="27">
    <w:abstractNumId w:val="16"/>
  </w:num>
  <w:num w:numId="28">
    <w:abstractNumId w:val="22"/>
  </w:num>
  <w:num w:numId="29">
    <w:abstractNumId w:val="9"/>
  </w:num>
  <w:num w:numId="30">
    <w:abstractNumId w:val="20"/>
  </w:num>
  <w:num w:numId="31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2C97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E50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20DB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760B2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00661-068F-4347-8496-DD754F4F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2017-10-04T16:38:00Z</cp:lastPrinted>
  <dcterms:created xsi:type="dcterms:W3CDTF">2017-10-04T16:38:00Z</dcterms:created>
  <dcterms:modified xsi:type="dcterms:W3CDTF">2017-10-04T16:39:00Z</dcterms:modified>
</cp:coreProperties>
</file>