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9A" w:rsidRDefault="005C0C9A" w:rsidP="005C0C9A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122FA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6A5CD2">
        <w:rPr>
          <w:rFonts w:asciiTheme="minorHAnsi" w:eastAsia="Arial Unicode MS" w:hAnsiTheme="minorHAnsi" w:cs="Arial Unicode MS"/>
          <w:b/>
          <w:color w:val="000099"/>
          <w:sz w:val="28"/>
        </w:rPr>
        <w:t>116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Pr="00381B37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4D30D3">
        <w:rPr>
          <w:rFonts w:asciiTheme="minorHAnsi" w:eastAsia="Arial Unicode MS" w:hAnsiTheme="minorHAnsi" w:cs="Arial Unicode MS"/>
          <w:color w:val="000099"/>
          <w:sz w:val="24"/>
        </w:rPr>
        <w:t>quince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4D30D3">
        <w:rPr>
          <w:rFonts w:asciiTheme="minorHAnsi" w:eastAsia="Arial Unicode MS" w:hAnsiTheme="minorHAnsi" w:cs="Arial Unicode MS"/>
          <w:color w:val="000099"/>
          <w:sz w:val="24"/>
        </w:rPr>
        <w:t xml:space="preserve"> dieciocho</w:t>
      </w:r>
      <w:r w:rsidR="00602AB1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602AB1">
        <w:rPr>
          <w:rFonts w:asciiTheme="minorHAnsi" w:eastAsia="Arial Unicode MS" w:hAnsiTheme="minorHAnsi" w:cs="Arial Unicode MS"/>
          <w:color w:val="000099"/>
          <w:sz w:val="24"/>
        </w:rPr>
        <w:t>dieciséis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AE672A">
        <w:rPr>
          <w:rFonts w:asciiTheme="minorHAnsi" w:eastAsia="Arial Unicode MS" w:hAnsiTheme="minorHAnsi" w:cs="Arial Unicode MS"/>
          <w:color w:val="000099"/>
          <w:sz w:val="24"/>
        </w:rPr>
        <w:t>mayo</w:t>
      </w:r>
      <w:r w:rsidR="00F6346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="00146E56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F63465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274B2D">
        <w:rPr>
          <w:rFonts w:asciiTheme="minorHAnsi" w:eastAsia="Arial Unicode MS" w:hAnsiTheme="minorHAnsi" w:cs="Arial Unicode MS"/>
          <w:b/>
          <w:color w:val="000099"/>
          <w:sz w:val="24"/>
        </w:rPr>
        <w:t>11</w:t>
      </w:r>
      <w:r w:rsidR="00AE672A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="00F63465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DB1BCD" w:rsidRPr="00381B37" w:rsidRDefault="00DB1BCD" w:rsidP="003707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602AB1" w:rsidRPr="004D5807" w:rsidRDefault="00982C7D" w:rsidP="00982C7D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4"/>
          <w:szCs w:val="24"/>
        </w:rPr>
      </w:pPr>
      <w:r w:rsidRPr="004D5807">
        <w:rPr>
          <w:b/>
          <w:color w:val="000099"/>
          <w:sz w:val="24"/>
          <w:szCs w:val="24"/>
        </w:rPr>
        <w:t>Información</w:t>
      </w:r>
      <w:r w:rsidR="004D30D3" w:rsidRPr="004D5807">
        <w:rPr>
          <w:b/>
          <w:color w:val="000099"/>
          <w:sz w:val="24"/>
          <w:szCs w:val="24"/>
        </w:rPr>
        <w:t xml:space="preserve"> sobre el aguacate </w:t>
      </w:r>
      <w:proofErr w:type="spellStart"/>
      <w:r w:rsidRPr="004D5807">
        <w:rPr>
          <w:b/>
          <w:color w:val="000099"/>
          <w:sz w:val="24"/>
          <w:szCs w:val="24"/>
        </w:rPr>
        <w:t>hass</w:t>
      </w:r>
      <w:proofErr w:type="spellEnd"/>
      <w:r w:rsidRPr="004D5807">
        <w:rPr>
          <w:b/>
          <w:color w:val="000099"/>
          <w:sz w:val="24"/>
          <w:szCs w:val="24"/>
        </w:rPr>
        <w:t xml:space="preserve">, requerimientos para exportación, así como las condiciones necesarias en las que se debe de tener el producto almacenado, la temperatura idónea, materiales de los que debe estar elaborada la bodega y conocer datos de importación del aguacate </w:t>
      </w:r>
      <w:proofErr w:type="spellStart"/>
      <w:r w:rsidRPr="004D5807">
        <w:rPr>
          <w:b/>
          <w:color w:val="000099"/>
          <w:sz w:val="24"/>
          <w:szCs w:val="24"/>
        </w:rPr>
        <w:t>hass</w:t>
      </w:r>
      <w:proofErr w:type="spellEnd"/>
      <w:r w:rsidRPr="004D5807">
        <w:rPr>
          <w:b/>
          <w:color w:val="000099"/>
          <w:sz w:val="24"/>
          <w:szCs w:val="24"/>
        </w:rPr>
        <w:t>.</w:t>
      </w:r>
    </w:p>
    <w:p w:rsidR="003707DA" w:rsidRPr="004D5807" w:rsidRDefault="003707DA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931693" w:rsidRPr="004D5807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4D5807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F63465"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5C0C9A">
        <w:rPr>
          <w:rFonts w:asciiTheme="minorHAnsi" w:hAnsiTheme="minorHAnsi" w:cs="Calibri"/>
          <w:b/>
          <w:color w:val="000099"/>
          <w:sz w:val="24"/>
          <w:szCs w:val="24"/>
        </w:rPr>
        <w:t>xxxxx</w:t>
      </w:r>
      <w:bookmarkStart w:id="0" w:name="_GoBack"/>
      <w:bookmarkEnd w:id="0"/>
      <w:r w:rsidR="00AE672A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, </w:t>
      </w:r>
      <w:r w:rsidR="00146E56"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 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se estudió lo solicitado determinándose con base al art. 62 inciso 2º que la misma ya está disponible al público</w:t>
      </w:r>
      <w:r w:rsidR="003C70C0" w:rsidRPr="004D5807">
        <w:rPr>
          <w:rFonts w:asciiTheme="minorHAnsi" w:eastAsia="Arial Unicode MS" w:hAnsiTheme="minorHAnsi" w:cs="Arial Unicode MS"/>
          <w:sz w:val="24"/>
          <w:szCs w:val="24"/>
        </w:rPr>
        <w:t xml:space="preserve"> la cual puede descargarse</w:t>
      </w:r>
      <w:r w:rsidR="00931693" w:rsidRPr="004D5807">
        <w:rPr>
          <w:rFonts w:asciiTheme="minorHAnsi" w:eastAsia="Arial Unicode MS" w:hAnsiTheme="minorHAnsi" w:cs="Arial Unicode MS"/>
          <w:sz w:val="24"/>
          <w:szCs w:val="24"/>
        </w:rPr>
        <w:t>. Por lo tanto resuelve:</w:t>
      </w:r>
    </w:p>
    <w:p w:rsidR="00DB1BCD" w:rsidRPr="004D5807" w:rsidRDefault="00DB1BC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931693" w:rsidRPr="004D5807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ORIENTAR LA UBICACIÓN DE LA INFORMACIÓN SOLICITADA</w:t>
      </w:r>
    </w:p>
    <w:p w:rsidR="00E339B8" w:rsidRPr="004D5807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CB3347" w:rsidRPr="00CB3347" w:rsidRDefault="00602AB1" w:rsidP="00377B60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CB3347">
        <w:rPr>
          <w:rFonts w:asciiTheme="minorHAnsi" w:eastAsia="Arial Unicode MS" w:hAnsiTheme="minorHAnsi" w:cs="Arial Unicode MS"/>
        </w:rPr>
        <w:t xml:space="preserve">Parte de la información solicitada se </w:t>
      </w:r>
      <w:r w:rsidR="00377B60" w:rsidRPr="00CB3347">
        <w:rPr>
          <w:rFonts w:asciiTheme="minorHAnsi" w:eastAsia="Arial Unicode MS" w:hAnsiTheme="minorHAnsi" w:cs="Arial Unicode MS"/>
        </w:rPr>
        <w:t>atendió el mismo día de ingreso</w:t>
      </w:r>
      <w:r w:rsidR="00AE672A" w:rsidRPr="00CB3347">
        <w:rPr>
          <w:rFonts w:asciiTheme="minorHAnsi" w:eastAsia="Arial Unicode MS" w:hAnsiTheme="minorHAnsi" w:cs="Arial Unicode MS"/>
        </w:rPr>
        <w:t>,</w:t>
      </w:r>
      <w:r w:rsidRPr="00CB3347">
        <w:rPr>
          <w:rFonts w:asciiTheme="minorHAnsi" w:eastAsia="Arial Unicode MS" w:hAnsiTheme="minorHAnsi" w:cs="Arial Unicode MS"/>
        </w:rPr>
        <w:t xml:space="preserve"> ya que es información oficiosa, </w:t>
      </w:r>
      <w:r w:rsidR="00377B60" w:rsidRPr="00CB3347">
        <w:rPr>
          <w:rFonts w:asciiTheme="minorHAnsi" w:eastAsia="Arial Unicode MS" w:hAnsiTheme="minorHAnsi" w:cs="Arial Unicode MS"/>
        </w:rPr>
        <w:t xml:space="preserve">y </w:t>
      </w:r>
      <w:r w:rsidRPr="00CB3347">
        <w:rPr>
          <w:rFonts w:asciiTheme="minorHAnsi" w:eastAsia="Arial Unicode MS" w:hAnsiTheme="minorHAnsi" w:cs="Arial Unicode MS"/>
        </w:rPr>
        <w:t>el resto no compete</w:t>
      </w:r>
      <w:r w:rsidR="00377B60" w:rsidRPr="00CB3347">
        <w:rPr>
          <w:rFonts w:asciiTheme="minorHAnsi" w:eastAsia="Arial Unicode MS" w:hAnsiTheme="minorHAnsi" w:cs="Arial Unicode MS"/>
        </w:rPr>
        <w:t xml:space="preserve"> al MAG</w:t>
      </w:r>
      <w:r w:rsidRPr="00CB3347">
        <w:rPr>
          <w:rFonts w:asciiTheme="minorHAnsi" w:eastAsia="Arial Unicode MS" w:hAnsiTheme="minorHAnsi" w:cs="Arial Unicode MS"/>
        </w:rPr>
        <w:t xml:space="preserve"> por lo que se refirió a las instituciones correspondientes</w:t>
      </w:r>
      <w:r w:rsidR="002546DE" w:rsidRPr="00CB3347">
        <w:rPr>
          <w:rFonts w:asciiTheme="minorHAnsi" w:eastAsia="Arial Unicode MS" w:hAnsiTheme="minorHAnsi" w:cs="Arial Unicode MS"/>
        </w:rPr>
        <w:t xml:space="preserve">, </w:t>
      </w:r>
      <w:r w:rsidR="00377B60" w:rsidRPr="00CB3347">
        <w:rPr>
          <w:rFonts w:asciiTheme="minorHAnsi" w:eastAsia="Arial Unicode MS" w:hAnsiTheme="minorHAnsi" w:cs="Arial Unicode MS"/>
        </w:rPr>
        <w:t>en este caso al Banco Central de Reserva BCR y Centro de Tecnología Agropecuaria y Forestal “</w:t>
      </w:r>
      <w:r w:rsidR="00CB3347" w:rsidRPr="00CB3347">
        <w:rPr>
          <w:rFonts w:asciiTheme="minorHAnsi" w:eastAsia="Arial Unicode MS" w:hAnsiTheme="minorHAnsi" w:cs="Arial Unicode MS"/>
        </w:rPr>
        <w:t xml:space="preserve">Enrique Álvarez Córdova” CENTA, consultar a las siguientes direcciones electrónicas de las oficinas de información y respuesta: </w:t>
      </w:r>
    </w:p>
    <w:p w:rsidR="002546DE" w:rsidRDefault="00CB3347" w:rsidP="00377B60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CB3347">
        <w:rPr>
          <w:rFonts w:asciiTheme="minorHAnsi" w:eastAsia="Arial Unicode MS" w:hAnsiTheme="minorHAnsi" w:cs="Arial Unicode MS"/>
        </w:rPr>
        <w:t>BCR</w:t>
      </w:r>
      <w:r w:rsidR="00CF507E">
        <w:rPr>
          <w:rFonts w:asciiTheme="minorHAnsi" w:eastAsia="Arial Unicode MS" w:hAnsiTheme="minorHAnsi" w:cs="Arial Unicode MS"/>
        </w:rPr>
        <w:t>:</w:t>
      </w:r>
      <w:r>
        <w:rPr>
          <w:rFonts w:asciiTheme="minorHAnsi" w:eastAsia="Arial Unicode MS" w:hAnsiTheme="minorHAnsi" w:cs="Arial Unicode MS"/>
        </w:rPr>
        <w:t xml:space="preserve"> </w:t>
      </w:r>
      <w:r w:rsidRPr="00CB3347">
        <w:rPr>
          <w:rFonts w:asciiTheme="minorHAnsi" w:eastAsia="Arial Unicode MS" w:hAnsiTheme="minorHAnsi" w:cs="Arial Unicode MS"/>
        </w:rPr>
        <w:t xml:space="preserve"> </w:t>
      </w:r>
      <w:hyperlink r:id="rId9" w:history="1">
        <w:r w:rsidRPr="00CF507E">
          <w:rPr>
            <w:rStyle w:val="Hipervnculo"/>
            <w:rFonts w:asciiTheme="minorHAnsi" w:eastAsia="Arial Unicode MS" w:hAnsiTheme="minorHAnsi" w:cs="Arial Unicode MS"/>
            <w:sz w:val="20"/>
            <w:szCs w:val="20"/>
          </w:rPr>
          <w:t>http://www.bcr.gob.sv/esp/index.php?option=com_content&amp;view=article&amp;id=86&amp;Itemid=218</w:t>
        </w:r>
      </w:hyperlink>
    </w:p>
    <w:p w:rsidR="00CB3347" w:rsidRDefault="00CB3347" w:rsidP="00377B60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B3347" w:rsidRPr="00CB3347" w:rsidRDefault="00CB3347" w:rsidP="00377B60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CENTA</w:t>
      </w:r>
      <w:r w:rsidR="00CF507E">
        <w:rPr>
          <w:rFonts w:asciiTheme="minorHAnsi" w:eastAsia="Arial Unicode MS" w:hAnsiTheme="minorHAnsi" w:cs="Arial Unicode MS"/>
        </w:rPr>
        <w:t>:</w:t>
      </w:r>
      <w:r>
        <w:rPr>
          <w:rFonts w:asciiTheme="minorHAnsi" w:eastAsia="Arial Unicode MS" w:hAnsiTheme="minorHAnsi" w:cs="Arial Unicode MS"/>
        </w:rPr>
        <w:t xml:space="preserve"> </w:t>
      </w:r>
      <w:hyperlink r:id="rId10" w:history="1">
        <w:r w:rsidRPr="00CF507E">
          <w:rPr>
            <w:rStyle w:val="Hipervnculo"/>
            <w:rFonts w:asciiTheme="minorHAnsi" w:eastAsia="Arial Unicode MS" w:hAnsiTheme="minorHAnsi" w:cs="Arial Unicode MS"/>
          </w:rPr>
          <w:t>http://www.centa.gob.sv/2015/ubicacion-y-directorio/</w:t>
        </w:r>
      </w:hyperlink>
    </w:p>
    <w:p w:rsidR="00E309E7" w:rsidRDefault="00E309E7" w:rsidP="00377B60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E309E7" w:rsidRPr="00C27A18" w:rsidRDefault="00CF507E" w:rsidP="00377B60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C27A18">
        <w:rPr>
          <w:rFonts w:asciiTheme="minorHAnsi" w:eastAsia="Arial Unicode MS" w:hAnsiTheme="minorHAnsi" w:cs="Arial Unicode MS"/>
        </w:rPr>
        <w:t xml:space="preserve">Acceder a la siguiente dirección electrónica: </w:t>
      </w:r>
      <w:r w:rsidR="00E309E7" w:rsidRPr="00C27A18">
        <w:rPr>
          <w:rFonts w:asciiTheme="minorHAnsi" w:eastAsia="Arial Unicode MS" w:hAnsiTheme="minorHAnsi" w:cs="Arial Unicode MS"/>
          <w:color w:val="0000FF"/>
          <w:u w:val="single"/>
        </w:rPr>
        <w:t>http://oas.mag.gob.sv/sisa/tramites.jsp</w:t>
      </w:r>
    </w:p>
    <w:p w:rsidR="00E27E00" w:rsidRPr="00C27A18" w:rsidRDefault="00E27E00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u w:val="single"/>
        </w:rPr>
      </w:pPr>
    </w:p>
    <w:p w:rsidR="004D5807" w:rsidRDefault="004D5807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p w:rsidR="004D5807" w:rsidRPr="00E27E00" w:rsidRDefault="004D5807" w:rsidP="007922FA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FF"/>
          <w:sz w:val="24"/>
          <w:u w:val="single"/>
        </w:rPr>
      </w:pPr>
    </w:p>
    <w:sectPr w:rsidR="004D5807" w:rsidRPr="00E27E00" w:rsidSect="00635004">
      <w:headerReference w:type="default" r:id="rId11"/>
      <w:footerReference w:type="default" r:id="rId12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A01" w:rsidRDefault="001C6A01" w:rsidP="00F425A5">
      <w:pPr>
        <w:spacing w:after="0" w:line="240" w:lineRule="auto"/>
      </w:pPr>
      <w:r>
        <w:separator/>
      </w:r>
    </w:p>
  </w:endnote>
  <w:endnote w:type="continuationSeparator" w:id="0">
    <w:p w:rsidR="001C6A01" w:rsidRDefault="001C6A0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Default="002546DE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2546DE" w:rsidRDefault="001C6A01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2546DE" w:rsidRPr="00C1337B" w:rsidRDefault="002546DE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FIRMA: LIC. 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IR MAG</w:t>
                </w:r>
              </w:p>
              <w:p w:rsidR="002546DE" w:rsidRPr="006A4190" w:rsidRDefault="002546DE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2546DE" w:rsidRPr="006A4190" w:rsidRDefault="002546DE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 xml:space="preserve">, 13 calle </w:t>
                </w:r>
                <w:proofErr w:type="spellStart"/>
                <w:r>
                  <w:rPr>
                    <w:color w:val="auto"/>
                    <w:sz w:val="18"/>
                    <w:szCs w:val="18"/>
                  </w:rPr>
                  <w:t>Ote.</w:t>
                </w:r>
                <w:r w:rsidRPr="006A4190">
                  <w:rPr>
                    <w:color w:val="auto"/>
                    <w:sz w:val="18"/>
                    <w:szCs w:val="18"/>
                  </w:rPr>
                  <w:t>y</w:t>
                </w:r>
                <w:proofErr w:type="spellEnd"/>
                <w:r w:rsidRPr="006A4190">
                  <w:rPr>
                    <w:color w:val="auto"/>
                    <w:sz w:val="18"/>
                    <w:szCs w:val="18"/>
                  </w:rPr>
                  <w:t xml:space="preserve"> Av. Manuel Gallardo, Santa Tecla, La Libertad, El Salvador, C.A.</w:t>
                </w:r>
              </w:p>
              <w:p w:rsidR="002546DE" w:rsidRDefault="002546DE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1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2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u w:val="single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2546DE" w:rsidRPr="007B46B6" w:rsidRDefault="002546DE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2546DE" w:rsidRPr="0067757F" w:rsidRDefault="002546DE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39471E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39471E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5C0C9A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39471E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39471E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39471E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5C0C9A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39471E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2546DE" w:rsidRPr="001A48CE" w:rsidRDefault="002546DE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2546D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A01" w:rsidRDefault="001C6A01" w:rsidP="00F425A5">
      <w:pPr>
        <w:spacing w:after="0" w:line="240" w:lineRule="auto"/>
      </w:pPr>
      <w:r>
        <w:separator/>
      </w:r>
    </w:p>
  </w:footnote>
  <w:footnote w:type="continuationSeparator" w:id="0">
    <w:p w:rsidR="001C6A01" w:rsidRDefault="001C6A0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6DE" w:rsidRPr="006A4190" w:rsidRDefault="002546DE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2FA9"/>
    <w:rsid w:val="00123F84"/>
    <w:rsid w:val="001256ED"/>
    <w:rsid w:val="00146E56"/>
    <w:rsid w:val="00150564"/>
    <w:rsid w:val="001507F7"/>
    <w:rsid w:val="00151491"/>
    <w:rsid w:val="00152F48"/>
    <w:rsid w:val="001612BF"/>
    <w:rsid w:val="00162D94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6A01"/>
    <w:rsid w:val="001D4A3E"/>
    <w:rsid w:val="001F3808"/>
    <w:rsid w:val="001F75CE"/>
    <w:rsid w:val="002027A5"/>
    <w:rsid w:val="0021253D"/>
    <w:rsid w:val="00214ACD"/>
    <w:rsid w:val="00215F09"/>
    <w:rsid w:val="002172C1"/>
    <w:rsid w:val="002178FF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46DE"/>
    <w:rsid w:val="002567A3"/>
    <w:rsid w:val="0026077C"/>
    <w:rsid w:val="00260D1E"/>
    <w:rsid w:val="00262F1C"/>
    <w:rsid w:val="00272670"/>
    <w:rsid w:val="00272B14"/>
    <w:rsid w:val="00274403"/>
    <w:rsid w:val="00274B2D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2F2A"/>
    <w:rsid w:val="00350AEA"/>
    <w:rsid w:val="00352961"/>
    <w:rsid w:val="003707DA"/>
    <w:rsid w:val="00377A87"/>
    <w:rsid w:val="00377B60"/>
    <w:rsid w:val="00381B37"/>
    <w:rsid w:val="00386009"/>
    <w:rsid w:val="003906A6"/>
    <w:rsid w:val="0039471E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D30D3"/>
    <w:rsid w:val="004D5807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0C9A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2AB1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A5CD2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5959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1B8D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E5F0E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3E93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2C7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27A18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3347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507E"/>
    <w:rsid w:val="00CF668F"/>
    <w:rsid w:val="00CF69F2"/>
    <w:rsid w:val="00CF7F5B"/>
    <w:rsid w:val="00D024FD"/>
    <w:rsid w:val="00D029A4"/>
    <w:rsid w:val="00D02E37"/>
    <w:rsid w:val="00D03B93"/>
    <w:rsid w:val="00D11A3B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B1BCD"/>
    <w:rsid w:val="00DB347C"/>
    <w:rsid w:val="00DC039E"/>
    <w:rsid w:val="00DC09E1"/>
    <w:rsid w:val="00DC3256"/>
    <w:rsid w:val="00DC416F"/>
    <w:rsid w:val="00DC4C0A"/>
    <w:rsid w:val="00DC784C"/>
    <w:rsid w:val="00DD1DB3"/>
    <w:rsid w:val="00DD51AE"/>
    <w:rsid w:val="00DD5D00"/>
    <w:rsid w:val="00DD7313"/>
    <w:rsid w:val="00DD7EE6"/>
    <w:rsid w:val="00DE1171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09E7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39D0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33E4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5143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enta.gob.sv/2015/ubicacion-y-directori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cr.gob.sv/esp/index.php?option=com_content&amp;view=article&amp;id=86&amp;Itemid=21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CA338-5287-4881-801F-A9B105CC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11</cp:revision>
  <cp:lastPrinted>2016-07-21T14:51:00Z</cp:lastPrinted>
  <dcterms:created xsi:type="dcterms:W3CDTF">2016-06-08T21:16:00Z</dcterms:created>
  <dcterms:modified xsi:type="dcterms:W3CDTF">2017-09-16T19:38:00Z</dcterms:modified>
</cp:coreProperties>
</file>