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2F" w:rsidRDefault="00CE582F" w:rsidP="00CE582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E582F" w:rsidRDefault="00CE582F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30</w:t>
      </w:r>
      <w:r w:rsidR="00606B79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>once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>cuarenta y cinco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minutos 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1"/>
          <w:w w:val="102"/>
          <w:sz w:val="24"/>
          <w:szCs w:val="24"/>
          <w:highlight w:val="yellow"/>
        </w:rPr>
        <w:t>í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a</w:t>
      </w:r>
      <w:r w:rsidR="00C0080F"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</w:t>
      </w:r>
      <w:r w:rsidR="00CD1CB7" w:rsidRPr="00CD1CB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veinte</w:t>
      </w:r>
      <w:r w:rsidR="00755E32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de noviembre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30</w:t>
      </w:r>
      <w:r w:rsidR="00CD1CB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DF1232" w:rsidRDefault="00DF1232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DF1232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1.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ab/>
        <w:t>Código Ético Profesional del Ingeniero Agrónomo.</w:t>
      </w:r>
    </w:p>
    <w:p w:rsidR="00DF1232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2.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ab/>
        <w:t>Revista del MAG y CENTA sobre Sector Agropecuario</w:t>
      </w:r>
    </w:p>
    <w:p w:rsidR="00DF1232" w:rsidRPr="00CD1CB7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CE582F" w:rsidRPr="00CE582F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XXXXXX</w:t>
      </w:r>
      <w:r w:rsidR="00DF1232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755E32" w:rsidRPr="00B93C23" w:rsidRDefault="00755E32" w:rsidP="00755E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Dicha información es competencia del Centro Nacional de Tecnologí</w:t>
      </w:r>
      <w:r w:rsidR="00B60A18">
        <w:rPr>
          <w:rFonts w:asciiTheme="minorHAnsi" w:eastAsia="Arial Unicode MS" w:hAnsiTheme="minorHAnsi" w:cs="Arial"/>
          <w:sz w:val="24"/>
          <w:szCs w:val="24"/>
        </w:rPr>
        <w:t>a Agropecuaria y Forestal-CENTA, contactar a:</w:t>
      </w:r>
    </w:p>
    <w:p w:rsidR="00B60A18" w:rsidRDefault="00B60A18" w:rsidP="00B60A1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B60A18" w:rsidRPr="00075DF9" w:rsidRDefault="00B60A18" w:rsidP="00B60A1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Álvarez Córdova”- CENTA</w:t>
      </w:r>
      <w:r w:rsidRPr="00075DF9">
        <w:rPr>
          <w:rFonts w:asciiTheme="minorHAnsi" w:eastAsia="Arial Unicode MS" w:hAnsiTheme="minorHAnsi" w:cs="Arial Unicode MS"/>
        </w:rPr>
        <w:t xml:space="preserve">, a la Oficina de Información y Respuesta, Km 33 y medio carretera a Santa Ana, Ciudad Arce, La Libertad; con la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Pr="00075D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AB" w:rsidRDefault="003901AB" w:rsidP="00F425A5">
      <w:pPr>
        <w:spacing w:after="0" w:line="240" w:lineRule="auto"/>
      </w:pPr>
      <w:r>
        <w:separator/>
      </w:r>
    </w:p>
  </w:endnote>
  <w:endnote w:type="continuationSeparator" w:id="0">
    <w:p w:rsidR="003901AB" w:rsidRDefault="003901A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65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B60A18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B60A18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AB" w:rsidRDefault="003901AB" w:rsidP="00F425A5">
      <w:pPr>
        <w:spacing w:after="0" w:line="240" w:lineRule="auto"/>
      </w:pPr>
      <w:r>
        <w:separator/>
      </w:r>
    </w:p>
  </w:footnote>
  <w:footnote w:type="continuationSeparator" w:id="0">
    <w:p w:rsidR="003901AB" w:rsidRDefault="003901A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028D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56E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01AB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427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10C7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0A18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E582F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FBE20-3978-40E4-8D47-3A76A823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2017-07-25T21:44:00Z</cp:lastPrinted>
  <dcterms:created xsi:type="dcterms:W3CDTF">2017-07-25T21:45:00Z</dcterms:created>
  <dcterms:modified xsi:type="dcterms:W3CDTF">2017-07-25T21:45:00Z</dcterms:modified>
</cp:coreProperties>
</file>