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95" w:rsidRPr="00E02E95" w:rsidRDefault="00E02E95" w:rsidP="00E02E95">
      <w:pPr>
        <w:spacing w:after="0" w:line="240" w:lineRule="auto"/>
        <w:jc w:val="center"/>
        <w:rPr>
          <w:rFonts w:eastAsia="Arial Unicode MS" w:cs="Calibri"/>
          <w:b/>
          <w:color w:val="000099"/>
          <w:sz w:val="16"/>
        </w:rPr>
      </w:pPr>
      <w:r w:rsidRPr="00E02E95">
        <w:rPr>
          <w:rFonts w:eastAsia="Arial Unicode MS" w:cs="Calibri"/>
          <w:b/>
          <w:bCs/>
          <w:color w:val="C00000"/>
          <w:sz w:val="16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0E18DD" w:rsidRDefault="00E02E95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R</w:t>
      </w:r>
      <w:r w:rsidR="00714AA6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 xml:space="preserve">ESOLUCIÓN </w:t>
      </w:r>
      <w:r w:rsidR="00A6281C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 xml:space="preserve">EN RESPUESTA A </w:t>
      </w:r>
      <w:r w:rsidR="00714AA6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SOLICITUD</w:t>
      </w:r>
      <w:r w:rsidR="00A6281C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 xml:space="preserve"> DE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 xml:space="preserve"> </w:t>
      </w:r>
      <w:r w:rsidR="00A05D71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N</w:t>
      </w:r>
      <w:r w:rsidR="00640AA6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 xml:space="preserve">° </w:t>
      </w:r>
      <w:r w:rsidR="000E78C2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1</w:t>
      </w:r>
      <w:r w:rsidR="000E18DD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6</w:t>
      </w:r>
      <w:r w:rsidR="006F7815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5</w:t>
      </w:r>
      <w:r w:rsidR="002C71C9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-201</w:t>
      </w:r>
      <w:r w:rsidR="006F7815" w:rsidRPr="000E18DD">
        <w:rPr>
          <w:rFonts w:asciiTheme="minorHAnsi" w:eastAsia="Arial Unicode MS" w:hAnsiTheme="minorHAnsi" w:cs="Arial Unicode MS"/>
          <w:b/>
          <w:color w:val="000099"/>
          <w:sz w:val="24"/>
          <w:szCs w:val="32"/>
        </w:rPr>
        <w:t>7</w:t>
      </w:r>
    </w:p>
    <w:p w:rsidR="00E339B8" w:rsidRPr="000E18DD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6"/>
        </w:rPr>
      </w:pPr>
    </w:p>
    <w:p w:rsidR="006F7815" w:rsidRDefault="006F7815" w:rsidP="00DE369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E81568" w:rsidRDefault="00714AA6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E81568">
        <w:rPr>
          <w:rFonts w:eastAsia="Arial Unicode MS" w:cs="Arial Unicode MS"/>
          <w:sz w:val="24"/>
          <w:szCs w:val="24"/>
        </w:rPr>
        <w:t xml:space="preserve">departamento de La Libertad </w:t>
      </w:r>
      <w:r w:rsidRPr="00E81568">
        <w:rPr>
          <w:rFonts w:eastAsia="Arial Unicode MS" w:cs="Arial Unicode MS"/>
          <w:sz w:val="24"/>
          <w:szCs w:val="24"/>
        </w:rPr>
        <w:t xml:space="preserve">a las </w:t>
      </w:r>
      <w:r w:rsidR="000E18DD">
        <w:rPr>
          <w:rFonts w:eastAsia="Arial Unicode MS" w:cs="Arial Unicode MS"/>
          <w:color w:val="000099"/>
          <w:sz w:val="24"/>
          <w:szCs w:val="24"/>
        </w:rPr>
        <w:t xml:space="preserve">quince </w:t>
      </w:r>
      <w:r w:rsidRPr="00E81568">
        <w:rPr>
          <w:rFonts w:eastAsia="Arial Unicode MS" w:cs="Arial Unicode MS"/>
          <w:color w:val="000099"/>
          <w:sz w:val="24"/>
          <w:szCs w:val="24"/>
        </w:rPr>
        <w:t>horas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 xml:space="preserve"> con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quince</w:t>
      </w:r>
      <w:r w:rsidR="004624E8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3497B" w:rsidRPr="00E81568">
        <w:rPr>
          <w:rFonts w:eastAsia="Arial Unicode MS" w:cs="Arial Unicode MS"/>
          <w:color w:val="000099"/>
          <w:sz w:val="24"/>
          <w:szCs w:val="24"/>
        </w:rPr>
        <w:t>minutos</w:t>
      </w:r>
      <w:r w:rsidR="00F63465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0E18DD">
        <w:rPr>
          <w:rFonts w:eastAsia="Arial Unicode MS" w:cs="Arial Unicode MS"/>
          <w:color w:val="000099"/>
          <w:sz w:val="24"/>
          <w:szCs w:val="24"/>
        </w:rPr>
        <w:t xml:space="preserve">ocho de junio </w:t>
      </w:r>
      <w:r w:rsidRPr="00E81568">
        <w:rPr>
          <w:rFonts w:eastAsia="Arial Unicode MS" w:cs="Arial Unicode MS"/>
          <w:color w:val="000099"/>
          <w:sz w:val="24"/>
          <w:szCs w:val="24"/>
        </w:rPr>
        <w:t>de 201</w:t>
      </w:r>
      <w:r w:rsidR="006F7815" w:rsidRPr="00E81568">
        <w:rPr>
          <w:rFonts w:eastAsia="Arial Unicode MS" w:cs="Arial Unicode MS"/>
          <w:color w:val="000099"/>
          <w:sz w:val="24"/>
          <w:szCs w:val="24"/>
        </w:rPr>
        <w:t>7</w:t>
      </w:r>
      <w:r w:rsidRPr="00E81568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E81568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E81568">
        <w:rPr>
          <w:rFonts w:eastAsia="Arial Unicode MS" w:cs="Arial Unicode MS"/>
          <w:sz w:val="24"/>
          <w:szCs w:val="24"/>
        </w:rPr>
        <w:t xml:space="preserve"> </w:t>
      </w:r>
      <w:r w:rsidR="003F7C75" w:rsidRPr="00E81568">
        <w:rPr>
          <w:rFonts w:eastAsia="Arial Unicode MS" w:cs="Arial Unicode MS"/>
          <w:b/>
          <w:color w:val="000099"/>
          <w:sz w:val="24"/>
          <w:szCs w:val="24"/>
        </w:rPr>
        <w:t>Nº 1</w:t>
      </w:r>
      <w:r w:rsidR="000E18DD">
        <w:rPr>
          <w:rFonts w:eastAsia="Arial Unicode MS" w:cs="Arial Unicode MS"/>
          <w:b/>
          <w:color w:val="000099"/>
          <w:sz w:val="24"/>
          <w:szCs w:val="24"/>
        </w:rPr>
        <w:t>6</w:t>
      </w:r>
      <w:r w:rsidR="006F7815" w:rsidRPr="00E81568">
        <w:rPr>
          <w:rFonts w:eastAsia="Arial Unicode MS" w:cs="Arial Unicode MS"/>
          <w:b/>
          <w:color w:val="000099"/>
          <w:sz w:val="24"/>
          <w:szCs w:val="24"/>
        </w:rPr>
        <w:t>5-2017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E81568">
        <w:rPr>
          <w:rFonts w:eastAsia="Arial Unicode MS" w:cs="Arial Unicode MS"/>
          <w:sz w:val="24"/>
          <w:szCs w:val="24"/>
        </w:rPr>
        <w:t>sobre:</w:t>
      </w:r>
    </w:p>
    <w:p w:rsidR="000E18DD" w:rsidRPr="000E18DD" w:rsidRDefault="000E18DD" w:rsidP="000E18DD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  <w:color w:val="0000CC"/>
          <w:sz w:val="16"/>
          <w:szCs w:val="24"/>
        </w:rPr>
      </w:pPr>
    </w:p>
    <w:p w:rsidR="000E18DD" w:rsidRPr="000E18DD" w:rsidRDefault="000E18DD" w:rsidP="000E18DD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="Arial Unicode MS"/>
          <w:color w:val="0000CC"/>
          <w:sz w:val="24"/>
          <w:szCs w:val="24"/>
        </w:rPr>
      </w:pPr>
      <w:r w:rsidRPr="000E18DD">
        <w:rPr>
          <w:rFonts w:eastAsia="Arial Unicode MS" w:cs="Arial Unicode MS"/>
          <w:color w:val="0000CC"/>
          <w:sz w:val="24"/>
          <w:szCs w:val="24"/>
        </w:rPr>
        <w:t>Mapa de uso agropecuario de la tierra (o el suelo) en El Salvador, ilustrando los diferentes usos</w:t>
      </w:r>
      <w:r>
        <w:rPr>
          <w:rFonts w:eastAsia="Arial Unicode MS" w:cs="Arial Unicode MS"/>
          <w:color w:val="0000CC"/>
          <w:sz w:val="24"/>
          <w:szCs w:val="24"/>
        </w:rPr>
        <w:t xml:space="preserve"> </w:t>
      </w:r>
      <w:r w:rsidRPr="000E18DD">
        <w:rPr>
          <w:rFonts w:eastAsia="Arial Unicode MS" w:cs="Arial Unicode MS"/>
          <w:color w:val="0000CC"/>
          <w:sz w:val="24"/>
          <w:szCs w:val="24"/>
        </w:rPr>
        <w:t>agropecuarios: diferentes cultivos agrícolas, ganadería, acuicultura y silvicultura.</w:t>
      </w:r>
    </w:p>
    <w:p w:rsidR="003C70C0" w:rsidRPr="000E18DD" w:rsidRDefault="003C70C0" w:rsidP="006F7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16"/>
          <w:szCs w:val="24"/>
          <w:lang w:val="x-none"/>
        </w:rPr>
      </w:pPr>
    </w:p>
    <w:p w:rsidR="00931693" w:rsidRPr="00E81568" w:rsidRDefault="00BE0B9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>P</w:t>
      </w:r>
      <w:r w:rsidR="00EE4B7D" w:rsidRPr="00E81568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E81568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E81568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="00E02E95" w:rsidRPr="00E02E95">
        <w:rPr>
          <w:rFonts w:eastAsia="Arial Unicode MS" w:cs="Arial Unicode MS"/>
          <w:b/>
          <w:color w:val="000099"/>
          <w:sz w:val="24"/>
          <w:szCs w:val="24"/>
          <w:highlight w:val="darkBlue"/>
        </w:rPr>
        <w:t>XXXXXXXXXXX</w:t>
      </w:r>
      <w:bookmarkStart w:id="0" w:name="_GoBack"/>
      <w:bookmarkEnd w:id="0"/>
      <w:r w:rsidR="00AE672A" w:rsidRPr="00E81568">
        <w:rPr>
          <w:rFonts w:cs="Calibri"/>
          <w:b/>
          <w:color w:val="000099"/>
          <w:sz w:val="24"/>
          <w:szCs w:val="24"/>
        </w:rPr>
        <w:t xml:space="preserve">, </w:t>
      </w:r>
      <w:r w:rsidR="00146E56" w:rsidRPr="00E81568">
        <w:rPr>
          <w:rFonts w:cs="Calibri"/>
          <w:b/>
          <w:color w:val="000099"/>
          <w:sz w:val="24"/>
          <w:szCs w:val="24"/>
        </w:rPr>
        <w:t xml:space="preserve"> </w:t>
      </w:r>
      <w:r w:rsidR="00931693" w:rsidRPr="00E81568">
        <w:rPr>
          <w:rFonts w:eastAsia="Arial Unicode MS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E81568">
        <w:rPr>
          <w:rFonts w:eastAsia="Arial Unicode MS" w:cs="Arial Unicode MS"/>
          <w:sz w:val="24"/>
          <w:szCs w:val="24"/>
        </w:rPr>
        <w:t xml:space="preserve"> la cual puede descargarse</w:t>
      </w:r>
      <w:r w:rsidR="00931693" w:rsidRPr="00E81568">
        <w:rPr>
          <w:rFonts w:eastAsia="Arial Unicode MS" w:cs="Arial Unicode MS"/>
          <w:sz w:val="24"/>
          <w:szCs w:val="24"/>
        </w:rPr>
        <w:t>. Por lo tanto resuelve:</w:t>
      </w:r>
    </w:p>
    <w:p w:rsidR="00DB1BCD" w:rsidRPr="000E18DD" w:rsidRDefault="00DB1BCD" w:rsidP="006F7815">
      <w:pPr>
        <w:spacing w:after="0"/>
        <w:jc w:val="both"/>
        <w:rPr>
          <w:rFonts w:eastAsia="Arial Unicode MS" w:cs="Arial Unicode MS"/>
          <w:sz w:val="16"/>
          <w:szCs w:val="24"/>
        </w:rPr>
      </w:pPr>
    </w:p>
    <w:p w:rsidR="006F7815" w:rsidRPr="00E81568" w:rsidRDefault="00931693" w:rsidP="006F7815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6F7815" w:rsidRPr="000E18DD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16"/>
          <w:szCs w:val="24"/>
        </w:rPr>
      </w:pPr>
    </w:p>
    <w:p w:rsidR="006F7815" w:rsidRDefault="006F7815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E81568">
        <w:rPr>
          <w:rFonts w:eastAsia="Arial Unicode MS" w:cs="Arial Unicode MS"/>
          <w:sz w:val="24"/>
          <w:szCs w:val="24"/>
        </w:rPr>
        <w:t xml:space="preserve">La información solicitada está disponible en la página web del MAG </w:t>
      </w:r>
      <w:hyperlink r:id="rId9" w:history="1">
        <w:r w:rsidR="000E78C2" w:rsidRPr="00E81568">
          <w:rPr>
            <w:rStyle w:val="Hipervnculo"/>
            <w:rFonts w:eastAsia="Arial Unicode MS" w:cs="Arial Unicode MS"/>
            <w:b/>
            <w:sz w:val="24"/>
            <w:szCs w:val="24"/>
          </w:rPr>
          <w:t>www.mag.gob.sv</w:t>
        </w:r>
      </w:hyperlink>
      <w:r w:rsidR="000E78C2" w:rsidRPr="00E81568">
        <w:rPr>
          <w:rFonts w:eastAsia="Arial Unicode MS" w:cs="Arial Unicode MS"/>
          <w:sz w:val="24"/>
          <w:szCs w:val="24"/>
        </w:rPr>
        <w:t xml:space="preserve"> en</w:t>
      </w:r>
      <w:r w:rsidR="000E18DD">
        <w:rPr>
          <w:rFonts w:eastAsia="Arial Unicode MS" w:cs="Arial Unicode MS"/>
          <w:sz w:val="24"/>
          <w:szCs w:val="24"/>
        </w:rPr>
        <w:t xml:space="preserve"> la sección SERVICIOS</w:t>
      </w:r>
      <w:r w:rsidR="000E78C2" w:rsidRPr="00E81568">
        <w:rPr>
          <w:rFonts w:eastAsia="Arial Unicode MS" w:cs="Arial Unicode MS"/>
          <w:sz w:val="24"/>
          <w:szCs w:val="24"/>
        </w:rPr>
        <w:t>:</w:t>
      </w:r>
    </w:p>
    <w:p w:rsidR="000E18DD" w:rsidRPr="000E18DD" w:rsidRDefault="000E18DD" w:rsidP="006F7815">
      <w:pPr>
        <w:spacing w:after="0"/>
        <w:jc w:val="both"/>
        <w:rPr>
          <w:rFonts w:eastAsia="Arial Unicode MS" w:cs="Arial Unicode MS"/>
          <w:sz w:val="16"/>
          <w:szCs w:val="24"/>
        </w:rPr>
      </w:pPr>
    </w:p>
    <w:p w:rsidR="000E18DD" w:rsidRPr="000E18DD" w:rsidRDefault="000E18DD" w:rsidP="000E18DD">
      <w:pPr>
        <w:pStyle w:val="Prrafodelista"/>
        <w:numPr>
          <w:ilvl w:val="0"/>
          <w:numId w:val="20"/>
        </w:numPr>
        <w:spacing w:after="0"/>
        <w:ind w:left="360"/>
        <w:jc w:val="both"/>
        <w:rPr>
          <w:rFonts w:eastAsia="Arial Unicode MS" w:cs="Arial Unicode MS"/>
          <w:color w:val="0000CC"/>
          <w:sz w:val="24"/>
          <w:szCs w:val="24"/>
        </w:rPr>
      </w:pPr>
      <w:r w:rsidRPr="000E18DD">
        <w:rPr>
          <w:rFonts w:eastAsia="Arial Unicode MS" w:cs="Arial Unicode MS"/>
          <w:color w:val="0000CC"/>
          <w:sz w:val="24"/>
          <w:szCs w:val="24"/>
        </w:rPr>
        <w:t>DIRECCIÓN GENERAL DE ORDENAMIENTO FORESTAL CUENCAS Y RIEGO</w:t>
      </w:r>
      <w:r>
        <w:rPr>
          <w:rFonts w:eastAsia="Arial Unicode MS" w:cs="Arial Unicode MS"/>
          <w:color w:val="0000CC"/>
          <w:sz w:val="24"/>
          <w:szCs w:val="24"/>
        </w:rPr>
        <w:t xml:space="preserve">/CUENCAS HIDROGRAFICAS </w:t>
      </w:r>
      <w:r w:rsidRPr="000E18DD">
        <w:rPr>
          <w:rFonts w:eastAsia="Arial Unicode MS" w:cs="Arial Unicode MS"/>
          <w:color w:val="0000CC"/>
          <w:sz w:val="24"/>
          <w:szCs w:val="24"/>
        </w:rPr>
        <w:t>(SUELOS/PEDOLOGÍA)</w:t>
      </w:r>
      <w:r>
        <w:rPr>
          <w:rFonts w:eastAsia="Arial Unicode MS" w:cs="Arial Unicode MS"/>
          <w:color w:val="0000CC"/>
          <w:sz w:val="24"/>
          <w:szCs w:val="24"/>
        </w:rPr>
        <w:t>, Link:</w:t>
      </w:r>
    </w:p>
    <w:p w:rsidR="000E18DD" w:rsidRPr="00E81568" w:rsidRDefault="000E18DD" w:rsidP="000E18DD">
      <w:pPr>
        <w:spacing w:after="0"/>
        <w:ind w:left="-360" w:firstLine="708"/>
        <w:jc w:val="both"/>
        <w:rPr>
          <w:b/>
          <w:sz w:val="24"/>
          <w:szCs w:val="24"/>
        </w:rPr>
      </w:pPr>
      <w:r w:rsidRPr="000E18DD">
        <w:rPr>
          <w:b/>
          <w:sz w:val="24"/>
          <w:szCs w:val="24"/>
        </w:rPr>
        <w:t>http://cartografia.mag.gob.sv/</w:t>
      </w:r>
    </w:p>
    <w:p w:rsidR="000E18DD" w:rsidRPr="000E18DD" w:rsidRDefault="000E18DD" w:rsidP="000E18DD">
      <w:pPr>
        <w:spacing w:after="0"/>
        <w:jc w:val="both"/>
        <w:rPr>
          <w:rFonts w:eastAsia="Arial Unicode MS" w:cs="Arial Unicode MS"/>
          <w:b/>
          <w:color w:val="000099"/>
          <w:sz w:val="16"/>
          <w:szCs w:val="24"/>
        </w:rPr>
      </w:pPr>
    </w:p>
    <w:p w:rsidR="006F7815" w:rsidRDefault="000E18DD" w:rsidP="000E18DD">
      <w:pPr>
        <w:pStyle w:val="Prrafodelista"/>
        <w:numPr>
          <w:ilvl w:val="0"/>
          <w:numId w:val="20"/>
        </w:numPr>
        <w:spacing w:after="0"/>
        <w:ind w:left="360"/>
        <w:jc w:val="both"/>
        <w:rPr>
          <w:rFonts w:eastAsia="Arial Unicode MS" w:cs="Arial Unicode MS"/>
          <w:color w:val="0000CC"/>
          <w:sz w:val="24"/>
          <w:szCs w:val="24"/>
        </w:rPr>
      </w:pPr>
      <w:r w:rsidRPr="000E18DD">
        <w:rPr>
          <w:rFonts w:eastAsia="Arial Unicode MS" w:cs="Arial Unicode MS"/>
          <w:color w:val="0000CC"/>
          <w:sz w:val="24"/>
          <w:szCs w:val="24"/>
        </w:rPr>
        <w:t>DIRECCIÓN GENERAL DE ECONOMIA AGROPECUARIA</w:t>
      </w:r>
      <w:r>
        <w:rPr>
          <w:rFonts w:eastAsia="Arial Unicode MS" w:cs="Arial Unicode MS"/>
          <w:color w:val="0000CC"/>
          <w:sz w:val="24"/>
          <w:szCs w:val="24"/>
        </w:rPr>
        <w:t>/ESTADÍSTICAS</w:t>
      </w:r>
      <w:r w:rsidRPr="000E18DD">
        <w:rPr>
          <w:rFonts w:eastAsia="Arial Unicode MS" w:cs="Arial Unicode MS"/>
          <w:color w:val="0000CC"/>
          <w:sz w:val="24"/>
          <w:szCs w:val="24"/>
        </w:rPr>
        <w:t xml:space="preserve"> </w:t>
      </w:r>
      <w:r>
        <w:rPr>
          <w:rFonts w:eastAsia="Arial Unicode MS" w:cs="Arial Unicode MS"/>
          <w:color w:val="0000CC"/>
          <w:sz w:val="24"/>
          <w:szCs w:val="24"/>
        </w:rPr>
        <w:t xml:space="preserve">AGROPECUARIAS </w:t>
      </w:r>
      <w:r w:rsidRPr="000E18DD">
        <w:rPr>
          <w:rFonts w:eastAsia="Arial Unicode MS" w:cs="Arial Unicode MS"/>
          <w:color w:val="0000CC"/>
          <w:sz w:val="24"/>
          <w:szCs w:val="24"/>
        </w:rPr>
        <w:t>(PRODUCCIÓN Y MAPAS AGROPECUARIOS)</w:t>
      </w:r>
      <w:r>
        <w:rPr>
          <w:rFonts w:eastAsia="Arial Unicode MS" w:cs="Arial Unicode MS"/>
          <w:color w:val="0000CC"/>
          <w:sz w:val="24"/>
          <w:szCs w:val="24"/>
        </w:rPr>
        <w:t>, Links:</w:t>
      </w:r>
    </w:p>
    <w:p w:rsidR="000E18DD" w:rsidRDefault="00457058" w:rsidP="000E18DD">
      <w:pPr>
        <w:pStyle w:val="Prrafodelista"/>
        <w:spacing w:after="0"/>
        <w:ind w:left="360"/>
        <w:jc w:val="both"/>
        <w:rPr>
          <w:rFonts w:eastAsia="Arial Unicode MS" w:cs="Arial Unicode MS"/>
          <w:color w:val="0000CC"/>
          <w:sz w:val="24"/>
          <w:szCs w:val="24"/>
        </w:rPr>
      </w:pPr>
      <w:hyperlink r:id="rId10" w:history="1">
        <w:r w:rsidR="000E18DD" w:rsidRPr="000B095D">
          <w:rPr>
            <w:rStyle w:val="Hipervnculo"/>
            <w:rFonts w:eastAsia="Arial Unicode MS" w:cs="Arial Unicode MS"/>
            <w:sz w:val="24"/>
            <w:szCs w:val="24"/>
          </w:rPr>
          <w:t>http://www.mag.gob.sv/direccion-general-de-economia-agropecuaria/estadisticas-agropecuarias/</w:t>
        </w:r>
      </w:hyperlink>
    </w:p>
    <w:p w:rsidR="000E18DD" w:rsidRPr="000E18DD" w:rsidRDefault="000E18DD" w:rsidP="000E18DD">
      <w:pPr>
        <w:pStyle w:val="Prrafodelista"/>
        <w:spacing w:after="0"/>
        <w:ind w:left="360"/>
        <w:jc w:val="both"/>
        <w:rPr>
          <w:rFonts w:eastAsia="Arial Unicode MS" w:cs="Arial Unicode MS"/>
          <w:color w:val="0000CC"/>
          <w:sz w:val="16"/>
          <w:szCs w:val="24"/>
        </w:rPr>
      </w:pPr>
    </w:p>
    <w:p w:rsidR="000E18DD" w:rsidRDefault="000E18DD" w:rsidP="000E18DD">
      <w:pPr>
        <w:spacing w:after="0"/>
        <w:ind w:left="348"/>
        <w:jc w:val="both"/>
        <w:rPr>
          <w:rStyle w:val="Hipervnculo"/>
          <w:b/>
          <w:sz w:val="24"/>
          <w:szCs w:val="24"/>
        </w:rPr>
      </w:pPr>
      <w:r w:rsidRPr="000E18DD">
        <w:rPr>
          <w:rStyle w:val="Hipervnculo"/>
          <w:b/>
          <w:sz w:val="24"/>
          <w:szCs w:val="24"/>
        </w:rPr>
        <w:t>http://www.mag.gob.sv/direccion-general-de-economia-agropecuaria/estadisticas-agropecuarias/mapas-tematicos-sobre-frutales-granos-basicos-hortalizas-pecuarios-y-suelos/</w:t>
      </w:r>
    </w:p>
    <w:p w:rsidR="000E18DD" w:rsidRDefault="000E18DD" w:rsidP="000E18DD">
      <w:pPr>
        <w:spacing w:after="0"/>
        <w:ind w:firstLine="360"/>
        <w:jc w:val="both"/>
        <w:rPr>
          <w:rStyle w:val="Hipervnculo"/>
          <w:b/>
          <w:sz w:val="24"/>
          <w:szCs w:val="24"/>
        </w:rPr>
      </w:pP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6F7815">
        <w:rPr>
          <w:rFonts w:cs="Calibri"/>
          <w:spacing w:val="2"/>
        </w:rPr>
        <w:t>__________________________________</w:t>
      </w:r>
      <w:r>
        <w:rPr>
          <w:rFonts w:cs="Calibri"/>
          <w:spacing w:val="2"/>
        </w:rPr>
        <w:t>____</w:t>
      </w:r>
      <w:r w:rsidRPr="006F7815">
        <w:rPr>
          <w:rFonts w:cs="Calibri"/>
          <w:spacing w:val="2"/>
        </w:rPr>
        <w:t>_</w:t>
      </w:r>
    </w:p>
    <w:p w:rsidR="006F7815" w:rsidRPr="000E18DD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CC"/>
          <w:spacing w:val="2"/>
        </w:rPr>
      </w:pPr>
      <w:r w:rsidRPr="000E18DD">
        <w:rPr>
          <w:rFonts w:cs="Calibri"/>
          <w:b/>
          <w:color w:val="0000CC"/>
          <w:spacing w:val="2"/>
        </w:rPr>
        <w:t xml:space="preserve">  </w:t>
      </w:r>
      <w:r w:rsidRPr="000E18DD">
        <w:rPr>
          <w:b/>
          <w:color w:val="0000CC"/>
          <w:lang w:val="es-ES"/>
        </w:rPr>
        <w:t>Licenciada  Ana Patricia Sánchez de Cruz</w:t>
      </w:r>
    </w:p>
    <w:p w:rsidR="006F7815" w:rsidRPr="000E18DD" w:rsidRDefault="006F7815" w:rsidP="006F7815">
      <w:pPr>
        <w:spacing w:after="0" w:line="240" w:lineRule="auto"/>
        <w:jc w:val="center"/>
        <w:rPr>
          <w:rFonts w:eastAsia="Arial Unicode MS" w:cs="Arial Unicode MS"/>
          <w:color w:val="0000CC"/>
          <w:u w:val="single"/>
        </w:rPr>
      </w:pPr>
      <w:r w:rsidRPr="000E18DD">
        <w:rPr>
          <w:rFonts w:cs="Calibri"/>
          <w:b/>
          <w:color w:val="0000CC"/>
          <w:spacing w:val="2"/>
        </w:rPr>
        <w:t xml:space="preserve">      O</w:t>
      </w:r>
      <w:r w:rsidRPr="000E18DD">
        <w:rPr>
          <w:rFonts w:cs="Calibri"/>
          <w:b/>
          <w:color w:val="0000CC"/>
          <w:spacing w:val="-3"/>
        </w:rPr>
        <w:t>f</w:t>
      </w:r>
      <w:r w:rsidRPr="000E18DD">
        <w:rPr>
          <w:rFonts w:cs="Calibri"/>
          <w:b/>
          <w:color w:val="0000CC"/>
          <w:spacing w:val="3"/>
        </w:rPr>
        <w:t>i</w:t>
      </w:r>
      <w:r w:rsidRPr="000E18DD">
        <w:rPr>
          <w:rFonts w:cs="Calibri"/>
          <w:b/>
          <w:color w:val="0000CC"/>
          <w:spacing w:val="-2"/>
        </w:rPr>
        <w:t>c</w:t>
      </w:r>
      <w:r w:rsidRPr="000E18DD">
        <w:rPr>
          <w:rFonts w:cs="Calibri"/>
          <w:b/>
          <w:color w:val="0000CC"/>
          <w:spacing w:val="1"/>
        </w:rPr>
        <w:t>i</w:t>
      </w:r>
      <w:r w:rsidRPr="000E18DD">
        <w:rPr>
          <w:rFonts w:cs="Calibri"/>
          <w:b/>
          <w:color w:val="0000CC"/>
          <w:spacing w:val="-2"/>
        </w:rPr>
        <w:t>a</w:t>
      </w:r>
      <w:r w:rsidRPr="000E18DD">
        <w:rPr>
          <w:rFonts w:cs="Calibri"/>
          <w:b/>
          <w:color w:val="0000CC"/>
        </w:rPr>
        <w:t>l</w:t>
      </w:r>
      <w:r w:rsidRPr="000E18DD">
        <w:rPr>
          <w:rFonts w:ascii="Times New Roman" w:hAnsi="Times New Roman"/>
          <w:b/>
          <w:color w:val="0000CC"/>
          <w:spacing w:val="7"/>
        </w:rPr>
        <w:t xml:space="preserve"> </w:t>
      </w:r>
      <w:r w:rsidRPr="000E18DD">
        <w:rPr>
          <w:rFonts w:cs="Calibri"/>
          <w:b/>
          <w:color w:val="0000CC"/>
        </w:rPr>
        <w:t>de</w:t>
      </w:r>
      <w:r w:rsidRPr="000E18DD">
        <w:rPr>
          <w:rFonts w:ascii="Times New Roman" w:hAnsi="Times New Roman"/>
          <w:b/>
          <w:color w:val="0000CC"/>
          <w:spacing w:val="-2"/>
        </w:rPr>
        <w:t xml:space="preserve"> </w:t>
      </w:r>
      <w:r w:rsidRPr="000E18DD">
        <w:rPr>
          <w:rFonts w:cs="Calibri"/>
          <w:b/>
          <w:color w:val="0000CC"/>
          <w:spacing w:val="1"/>
        </w:rPr>
        <w:t>I</w:t>
      </w:r>
      <w:r w:rsidRPr="000E18DD">
        <w:rPr>
          <w:rFonts w:cs="Calibri"/>
          <w:b/>
          <w:color w:val="0000CC"/>
        </w:rPr>
        <w:t>n</w:t>
      </w:r>
      <w:r w:rsidRPr="000E18DD">
        <w:rPr>
          <w:rFonts w:cs="Calibri"/>
          <w:b/>
          <w:color w:val="0000CC"/>
          <w:spacing w:val="-1"/>
        </w:rPr>
        <w:t>fo</w:t>
      </w:r>
      <w:r w:rsidRPr="000E18DD">
        <w:rPr>
          <w:rFonts w:cs="Calibri"/>
          <w:b/>
          <w:color w:val="0000CC"/>
        </w:rPr>
        <w:t>r</w:t>
      </w:r>
      <w:r w:rsidRPr="000E18DD">
        <w:rPr>
          <w:rFonts w:cs="Calibri"/>
          <w:b/>
          <w:color w:val="0000CC"/>
          <w:spacing w:val="1"/>
        </w:rPr>
        <w:t>m</w:t>
      </w:r>
      <w:r w:rsidRPr="000E18DD">
        <w:rPr>
          <w:rFonts w:cs="Calibri"/>
          <w:b/>
          <w:color w:val="0000CC"/>
          <w:spacing w:val="-2"/>
        </w:rPr>
        <w:t>ac</w:t>
      </w:r>
      <w:r w:rsidRPr="000E18DD">
        <w:rPr>
          <w:rFonts w:cs="Calibri"/>
          <w:b/>
          <w:color w:val="0000CC"/>
          <w:spacing w:val="1"/>
        </w:rPr>
        <w:t>i</w:t>
      </w:r>
      <w:r w:rsidRPr="000E18DD">
        <w:rPr>
          <w:rFonts w:cs="Calibri"/>
          <w:b/>
          <w:color w:val="0000CC"/>
          <w:spacing w:val="-1"/>
        </w:rPr>
        <w:t>ó</w:t>
      </w:r>
      <w:r w:rsidRPr="000E18DD">
        <w:rPr>
          <w:rFonts w:cs="Calibri"/>
          <w:b/>
          <w:color w:val="0000CC"/>
        </w:rPr>
        <w:t>n</w:t>
      </w:r>
      <w:r w:rsidRPr="000E18DD">
        <w:rPr>
          <w:rFonts w:ascii="Times New Roman" w:hAnsi="Times New Roman"/>
          <w:b/>
          <w:color w:val="0000CC"/>
          <w:spacing w:val="16"/>
        </w:rPr>
        <w:t xml:space="preserve"> </w:t>
      </w:r>
      <w:r w:rsidRPr="000E18DD">
        <w:rPr>
          <w:rFonts w:cs="Calibri"/>
          <w:b/>
          <w:color w:val="0000CC"/>
          <w:spacing w:val="3"/>
          <w:w w:val="102"/>
        </w:rPr>
        <w:t>I</w:t>
      </w:r>
      <w:r w:rsidRPr="000E18DD">
        <w:rPr>
          <w:rFonts w:cs="Calibri"/>
          <w:b/>
          <w:color w:val="0000CC"/>
          <w:spacing w:val="-3"/>
          <w:w w:val="102"/>
        </w:rPr>
        <w:t>n</w:t>
      </w:r>
      <w:r w:rsidRPr="000E18DD">
        <w:rPr>
          <w:rFonts w:cs="Calibri"/>
          <w:b/>
          <w:color w:val="0000CC"/>
          <w:w w:val="102"/>
        </w:rPr>
        <w:t>st</w:t>
      </w:r>
      <w:r w:rsidRPr="000E18DD">
        <w:rPr>
          <w:rFonts w:cs="Calibri"/>
          <w:b/>
          <w:color w:val="0000CC"/>
          <w:spacing w:val="-1"/>
          <w:w w:val="102"/>
        </w:rPr>
        <w:t>i</w:t>
      </w:r>
      <w:r w:rsidRPr="000E18DD">
        <w:rPr>
          <w:rFonts w:cs="Calibri"/>
          <w:b/>
          <w:color w:val="0000CC"/>
          <w:w w:val="102"/>
        </w:rPr>
        <w:t>tu</w:t>
      </w:r>
      <w:r w:rsidRPr="000E18DD">
        <w:rPr>
          <w:rFonts w:cs="Calibri"/>
          <w:b/>
          <w:color w:val="0000CC"/>
          <w:spacing w:val="-2"/>
          <w:w w:val="102"/>
        </w:rPr>
        <w:t>c</w:t>
      </w:r>
      <w:r w:rsidRPr="000E18DD">
        <w:rPr>
          <w:rFonts w:cs="Calibri"/>
          <w:b/>
          <w:color w:val="0000CC"/>
          <w:spacing w:val="1"/>
          <w:w w:val="102"/>
        </w:rPr>
        <w:t>i</w:t>
      </w:r>
      <w:r w:rsidRPr="000E18DD">
        <w:rPr>
          <w:rFonts w:cs="Calibri"/>
          <w:b/>
          <w:color w:val="0000CC"/>
          <w:spacing w:val="-1"/>
          <w:w w:val="102"/>
        </w:rPr>
        <w:t>o</w:t>
      </w:r>
      <w:r w:rsidRPr="000E18DD">
        <w:rPr>
          <w:rFonts w:cs="Calibri"/>
          <w:b/>
          <w:color w:val="0000CC"/>
          <w:w w:val="102"/>
        </w:rPr>
        <w:t>nal</w:t>
      </w:r>
    </w:p>
    <w:sectPr w:rsidR="006F7815" w:rsidRPr="000E18DD" w:rsidSect="006F7815">
      <w:headerReference w:type="default" r:id="rId11"/>
      <w:footerReference w:type="default" r:id="rId12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58" w:rsidRDefault="00457058" w:rsidP="00F425A5">
      <w:pPr>
        <w:spacing w:after="0" w:line="240" w:lineRule="auto"/>
      </w:pPr>
      <w:r>
        <w:separator/>
      </w:r>
    </w:p>
  </w:endnote>
  <w:endnote w:type="continuationSeparator" w:id="0">
    <w:p w:rsidR="00457058" w:rsidRDefault="0045705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0E18DD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DB46F1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5C411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5C411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02E9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5C411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5C411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5C411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02E9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5C411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5C411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5C411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02E9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5C411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5C411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5C411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02E9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5C411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58" w:rsidRDefault="00457058" w:rsidP="00F425A5">
      <w:pPr>
        <w:spacing w:after="0" w:line="240" w:lineRule="auto"/>
      </w:pPr>
      <w:r>
        <w:separator/>
      </w:r>
    </w:p>
  </w:footnote>
  <w:footnote w:type="continuationSeparator" w:id="0">
    <w:p w:rsidR="00457058" w:rsidRDefault="0045705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A6A21"/>
    <w:multiLevelType w:val="hybridMultilevel"/>
    <w:tmpl w:val="6E841B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8"/>
  </w:num>
  <w:num w:numId="2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AB6"/>
    <w:rsid w:val="000A4CBF"/>
    <w:rsid w:val="000C2AB4"/>
    <w:rsid w:val="000C2DC9"/>
    <w:rsid w:val="000D1D25"/>
    <w:rsid w:val="000D2320"/>
    <w:rsid w:val="000D463E"/>
    <w:rsid w:val="000D7FB0"/>
    <w:rsid w:val="000E18DD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06C3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57058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4AD1"/>
    <w:rsid w:val="00992A9B"/>
    <w:rsid w:val="00994BA6"/>
    <w:rsid w:val="009959B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1B06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2CC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B46F1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2E95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4B3E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economia-agropecuaria/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BF837-40F5-4467-8D80-18F87860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2017-06-08T21:36:00Z</cp:lastPrinted>
  <dcterms:created xsi:type="dcterms:W3CDTF">2017-06-08T21:26:00Z</dcterms:created>
  <dcterms:modified xsi:type="dcterms:W3CDTF">2017-06-08T21:38:00Z</dcterms:modified>
</cp:coreProperties>
</file>