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A7" w:rsidRDefault="00BE04A7" w:rsidP="00BE04A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511E54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511E5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511E5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511E54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511E5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511E54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511E5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511E5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511E5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511E5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511E5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E930E6" w:rsidRPr="00511E5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155</w:t>
      </w:r>
      <w:r w:rsidR="00DB408E" w:rsidRPr="00511E5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511E5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511E5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dieciséis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>con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 xml:space="preserve"> cuarenta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E930E6">
        <w:rPr>
          <w:rFonts w:asciiTheme="minorHAnsi" w:eastAsia="Arial Unicode MS" w:hAnsiTheme="minorHAnsi" w:cs="Arial Unicode MS"/>
          <w:color w:val="000099"/>
          <w:sz w:val="24"/>
        </w:rPr>
        <w:t>cinco de junio</w:t>
      </w:r>
      <w:r w:rsidR="002C2836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DB408E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DB408E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E930E6">
        <w:rPr>
          <w:rFonts w:asciiTheme="minorHAnsi" w:eastAsia="Arial Unicode MS" w:hAnsiTheme="minorHAnsi" w:cs="Arial Unicode MS"/>
          <w:b/>
          <w:color w:val="000099"/>
          <w:sz w:val="24"/>
        </w:rPr>
        <w:t>155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DB408E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4"/>
          <w:lang w:eastAsia="en-US"/>
        </w:rPr>
      </w:pPr>
    </w:p>
    <w:p w:rsidR="00E930E6" w:rsidRPr="00E930E6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 xml:space="preserve">1. Actividades del POA 2016 correspondientes a la implementación de la Ley de Acceso a la Información Pública, en materia de acceso a la información y de gestión documental y archivo. </w:t>
      </w:r>
    </w:p>
    <w:p w:rsidR="00E930E6" w:rsidRPr="00E930E6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 xml:space="preserve">2. Metas institucionales para el año 2016 correspondiente </w:t>
      </w:r>
      <w:proofErr w:type="spellStart"/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>ala</w:t>
      </w:r>
      <w:proofErr w:type="spellEnd"/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 xml:space="preserve"> implementación de la Ley de Acceso a la Información Pública, en materia de acceso a la información y de gestión documental y archivo. </w:t>
      </w:r>
    </w:p>
    <w:p w:rsidR="00E930E6" w:rsidRPr="00E930E6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 xml:space="preserve">3. Detalle de inventario institucional asignado a la Unidad de Acceso a la Información Pública/Oficina de Información y Respuesta al diciembre 2016. </w:t>
      </w:r>
    </w:p>
    <w:p w:rsidR="00E930E6" w:rsidRPr="00E930E6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 xml:space="preserve">4. Detalle de contrataciones o adquisiciones de equipo, mobiliario, licencias de software, arrendamiento de servicios, impresión y/o reproducción de material divulgativo, servicios de internet o consultorías realizadas específicamente para el funcionamiento de la Unidad de Acceso a la información Pública/Oficina de Información y Respuesta entre el 1 de enero y el 31 de diciembre de 2016. </w:t>
      </w:r>
    </w:p>
    <w:p w:rsidR="00E930E6" w:rsidRPr="00E930E6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 xml:space="preserve">5. Conformación de la Unidad de Acceso a la Información Pública/Oficina de Información y Respuesta: Cargo, número de empleados por cargo y remuneración por cargo a diciembre 2016. </w:t>
      </w:r>
    </w:p>
    <w:p w:rsidR="00E930E6" w:rsidRPr="00E930E6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 xml:space="preserve">6. Conformación del Sistema de Gestión Documental y Archivos (Unidad de Archivos): Cargo, número de empleados por cargo y remuneración por cargo a diciembre 2016. </w:t>
      </w:r>
    </w:p>
    <w:p w:rsidR="00DB408E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  <w:r w:rsidRPr="00E930E6"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  <w:t>7. Detalle de asistencia recibida por parte de otras organizaciones en la implementación de la LAIP en el periodo del 1 de enero al 31 de diciembre de 2016</w:t>
      </w:r>
    </w:p>
    <w:p w:rsidR="00E930E6" w:rsidRDefault="00E930E6" w:rsidP="00E930E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es-ES" w:eastAsia="en-US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BE04A7" w:rsidRPr="00BE04A7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</w:t>
      </w:r>
      <w:bookmarkStart w:id="0" w:name="_GoBack"/>
      <w:bookmarkEnd w:id="0"/>
      <w:proofErr w:type="spellEnd"/>
      <w:r w:rsidR="00DB408E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DB408E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DB408E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DB408E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DB408E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E930E6" w:rsidRDefault="00D35459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E930E6">
        <w:rPr>
          <w:rFonts w:asciiTheme="minorHAnsi" w:hAnsiTheme="minorHAnsi"/>
          <w:sz w:val="24"/>
        </w:rPr>
        <w:t>tres</w:t>
      </w:r>
      <w:r w:rsidR="00DB408E" w:rsidRPr="00DB408E">
        <w:rPr>
          <w:rFonts w:asciiTheme="minorHAnsi" w:hAnsiTheme="minorHAnsi"/>
          <w:sz w:val="24"/>
        </w:rPr>
        <w:t xml:space="preserve"> archivos sobre lo siguiente: </w:t>
      </w:r>
    </w:p>
    <w:p w:rsidR="00C535A7" w:rsidRPr="00AA622F" w:rsidRDefault="00C535A7" w:rsidP="00DB1CB8">
      <w:pPr>
        <w:pStyle w:val="Prrafodelista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/>
          <w:sz w:val="24"/>
        </w:rPr>
      </w:pPr>
      <w:r w:rsidRPr="00DB1CB8">
        <w:rPr>
          <w:rFonts w:asciiTheme="minorHAnsi" w:hAnsiTheme="minorHAnsi"/>
          <w:sz w:val="24"/>
        </w:rPr>
        <w:lastRenderedPageBreak/>
        <w:t xml:space="preserve">Inventario de los </w:t>
      </w:r>
      <w:r w:rsidR="00E930E6" w:rsidRPr="00DB1CB8">
        <w:rPr>
          <w:rFonts w:asciiTheme="minorHAnsi" w:hAnsiTheme="minorHAnsi"/>
          <w:sz w:val="24"/>
        </w:rPr>
        <w:t xml:space="preserve">Activos de la OIR actualizado hasta el 2016 (es importante mencionar que se incluyen activos del Archivo General porque </w:t>
      </w:r>
      <w:r w:rsidR="00AA622F">
        <w:rPr>
          <w:rFonts w:asciiTheme="minorHAnsi" w:hAnsiTheme="minorHAnsi"/>
          <w:sz w:val="24"/>
        </w:rPr>
        <w:t>dicha unidad form</w:t>
      </w:r>
      <w:r w:rsidR="00E930E6" w:rsidRPr="00DB1CB8">
        <w:rPr>
          <w:rFonts w:asciiTheme="minorHAnsi" w:hAnsiTheme="minorHAnsi"/>
          <w:sz w:val="24"/>
        </w:rPr>
        <w:t xml:space="preserve">ó parte de </w:t>
      </w:r>
      <w:r w:rsidR="00E930E6" w:rsidRPr="00AA622F">
        <w:rPr>
          <w:rFonts w:asciiTheme="minorHAnsi" w:hAnsiTheme="minorHAnsi"/>
          <w:sz w:val="24"/>
        </w:rPr>
        <w:t>la OIR hasta</w:t>
      </w:r>
      <w:r w:rsidR="00AA622F" w:rsidRPr="00AA622F">
        <w:rPr>
          <w:rFonts w:asciiTheme="minorHAnsi" w:hAnsiTheme="minorHAnsi"/>
          <w:sz w:val="24"/>
        </w:rPr>
        <w:t xml:space="preserve"> </w:t>
      </w:r>
      <w:r w:rsidR="00AA622F">
        <w:rPr>
          <w:rFonts w:asciiTheme="minorHAnsi" w:hAnsiTheme="minorHAnsi"/>
          <w:sz w:val="24"/>
        </w:rPr>
        <w:t xml:space="preserve">el 11 de </w:t>
      </w:r>
      <w:r w:rsidR="00AA622F" w:rsidRPr="00AA622F">
        <w:rPr>
          <w:rFonts w:asciiTheme="minorHAnsi" w:hAnsiTheme="minorHAnsi"/>
          <w:sz w:val="24"/>
        </w:rPr>
        <w:t>enero</w:t>
      </w:r>
      <w:r w:rsidRPr="00AA622F">
        <w:rPr>
          <w:rFonts w:asciiTheme="minorHAnsi" w:hAnsiTheme="minorHAnsi"/>
          <w:sz w:val="24"/>
        </w:rPr>
        <w:t xml:space="preserve"> de 2017</w:t>
      </w:r>
      <w:r w:rsidR="00AA622F">
        <w:rPr>
          <w:rFonts w:asciiTheme="minorHAnsi" w:hAnsiTheme="minorHAnsi"/>
          <w:sz w:val="24"/>
        </w:rPr>
        <w:t>, que pasó a formar parte de la UGDA</w:t>
      </w:r>
      <w:r w:rsidRPr="00AA622F">
        <w:rPr>
          <w:rFonts w:asciiTheme="minorHAnsi" w:hAnsiTheme="minorHAnsi"/>
          <w:sz w:val="24"/>
        </w:rPr>
        <w:t>).</w:t>
      </w:r>
    </w:p>
    <w:p w:rsidR="005D11B0" w:rsidRPr="00DB1CB8" w:rsidRDefault="005D11B0" w:rsidP="00DB1CB8">
      <w:pPr>
        <w:pStyle w:val="Prrafodelista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/>
          <w:sz w:val="24"/>
        </w:rPr>
      </w:pPr>
      <w:r w:rsidRPr="00DB1CB8">
        <w:rPr>
          <w:rFonts w:asciiTheme="minorHAnsi" w:hAnsiTheme="minorHAnsi"/>
          <w:sz w:val="24"/>
        </w:rPr>
        <w:t>El Plan Operativo Anual y los informes de la OIR del año 2016</w:t>
      </w:r>
    </w:p>
    <w:p w:rsidR="00DB1CB8" w:rsidRDefault="00DB1CB8" w:rsidP="00DB1CB8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5D11B0" w:rsidRDefault="005D11B0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Lo anterior responde a</w:t>
      </w:r>
      <w:r w:rsidR="00DB1CB8">
        <w:rPr>
          <w:rFonts w:asciiTheme="minorHAnsi" w:hAnsiTheme="minorHAnsi"/>
          <w:sz w:val="24"/>
        </w:rPr>
        <w:t xml:space="preserve"> las preguntas del 1 al 3 de la presente solicitud, con relación a los restantes requerimientos respondo a continuación:</w:t>
      </w:r>
    </w:p>
    <w:p w:rsidR="00DB1CB8" w:rsidRDefault="00DB1CB8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1CB8" w:rsidRPr="00014489" w:rsidRDefault="00DB1CB8" w:rsidP="00E86082">
      <w:pPr>
        <w:spacing w:after="0" w:line="240" w:lineRule="auto"/>
        <w:jc w:val="both"/>
        <w:rPr>
          <w:rFonts w:asciiTheme="minorHAnsi" w:hAnsiTheme="minorHAnsi"/>
          <w:sz w:val="24"/>
          <w:u w:val="single"/>
        </w:rPr>
      </w:pPr>
      <w:r w:rsidRPr="00014489">
        <w:rPr>
          <w:rFonts w:asciiTheme="minorHAnsi" w:hAnsiTheme="minorHAnsi"/>
          <w:sz w:val="24"/>
          <w:u w:val="single"/>
        </w:rPr>
        <w:t>Contrataciones o adquisiciones</w:t>
      </w:r>
    </w:p>
    <w:p w:rsidR="00511E54" w:rsidRDefault="00511E54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1CB8" w:rsidRDefault="00DB1CB8" w:rsidP="00F763B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F763B3">
        <w:rPr>
          <w:rFonts w:asciiTheme="minorHAnsi" w:hAnsiTheme="minorHAnsi"/>
          <w:sz w:val="24"/>
        </w:rPr>
        <w:t>Se adquirieron dos licencias para convertir y editar documentos en PDF</w:t>
      </w:r>
    </w:p>
    <w:p w:rsidR="008739B4" w:rsidRDefault="008739B4" w:rsidP="00F763B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Se compró un disco duro extraíble</w:t>
      </w:r>
    </w:p>
    <w:p w:rsidR="008739B4" w:rsidRPr="00F763B3" w:rsidRDefault="008739B4" w:rsidP="00F763B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Se adquirió una caja plástica con rodos para depósito de documentos y papelería</w:t>
      </w:r>
    </w:p>
    <w:p w:rsidR="00DB1CB8" w:rsidRPr="00F763B3" w:rsidRDefault="00DB1CB8" w:rsidP="00F763B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F763B3">
        <w:rPr>
          <w:rFonts w:asciiTheme="minorHAnsi" w:hAnsiTheme="minorHAnsi"/>
          <w:sz w:val="24"/>
        </w:rPr>
        <w:t>El equipo multifuncional asignado a la oficina forma parte de</w:t>
      </w:r>
      <w:r w:rsidR="00F763B3" w:rsidRPr="00F763B3">
        <w:rPr>
          <w:rFonts w:asciiTheme="minorHAnsi" w:hAnsiTheme="minorHAnsi"/>
          <w:sz w:val="24"/>
        </w:rPr>
        <w:t xml:space="preserve">l </w:t>
      </w:r>
      <w:r w:rsidR="00F763B3" w:rsidRPr="00F763B3">
        <w:rPr>
          <w:rFonts w:asciiTheme="minorHAnsi" w:hAnsiTheme="minorHAnsi"/>
          <w:sz w:val="24"/>
        </w:rPr>
        <w:t>CONTRATO MAG No 006/2017 Licitación Pública No. 001/2017-MAG “SERVICIO DE ARRENDAMIENTO DE EQUIPOS MULTIFUNCIONALES PARA EL MAG</w:t>
      </w:r>
    </w:p>
    <w:p w:rsidR="00DB1CB8" w:rsidRPr="00F763B3" w:rsidRDefault="00DB1CB8" w:rsidP="00F763B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F763B3">
        <w:rPr>
          <w:rFonts w:asciiTheme="minorHAnsi" w:hAnsiTheme="minorHAnsi"/>
          <w:sz w:val="24"/>
        </w:rPr>
        <w:t>Diseño de un roll up institucional que se utiliza en las diferentes ferias y/o actividades en las que la OIR participa</w:t>
      </w:r>
    </w:p>
    <w:p w:rsidR="00A83EA0" w:rsidRPr="00F763B3" w:rsidRDefault="00A83EA0" w:rsidP="00F763B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 w:val="24"/>
        </w:rPr>
      </w:pPr>
      <w:r w:rsidRPr="00F763B3">
        <w:rPr>
          <w:rFonts w:asciiTheme="minorHAnsi" w:hAnsiTheme="minorHAnsi"/>
          <w:sz w:val="24"/>
        </w:rPr>
        <w:t xml:space="preserve">Se </w:t>
      </w:r>
      <w:r w:rsidR="00014489" w:rsidRPr="00F763B3">
        <w:rPr>
          <w:rFonts w:asciiTheme="minorHAnsi" w:hAnsiTheme="minorHAnsi"/>
          <w:sz w:val="24"/>
        </w:rPr>
        <w:t>contrató</w:t>
      </w:r>
      <w:r w:rsidRPr="00F763B3">
        <w:rPr>
          <w:rFonts w:asciiTheme="minorHAnsi" w:hAnsiTheme="minorHAnsi"/>
          <w:sz w:val="24"/>
        </w:rPr>
        <w:t xml:space="preserve"> </w:t>
      </w:r>
      <w:r w:rsidR="00014489" w:rsidRPr="00F763B3">
        <w:rPr>
          <w:rFonts w:asciiTheme="minorHAnsi" w:hAnsiTheme="minorHAnsi"/>
          <w:sz w:val="24"/>
        </w:rPr>
        <w:t xml:space="preserve">a una persona para la OIR </w:t>
      </w:r>
      <w:r w:rsidR="00F763B3" w:rsidRPr="00F763B3">
        <w:rPr>
          <w:rFonts w:asciiTheme="minorHAnsi" w:hAnsiTheme="minorHAnsi"/>
          <w:sz w:val="24"/>
        </w:rPr>
        <w:t>a</w:t>
      </w:r>
      <w:r w:rsidR="00014489" w:rsidRPr="00F763B3">
        <w:rPr>
          <w:rFonts w:asciiTheme="minorHAnsi" w:hAnsiTheme="minorHAnsi"/>
          <w:sz w:val="24"/>
        </w:rPr>
        <w:t xml:space="preserve"> través del sistema de Ley de Salarios, quien realiza labores técnicas y administrativas</w:t>
      </w:r>
    </w:p>
    <w:p w:rsidR="00C16B16" w:rsidRDefault="00C16B16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014489" w:rsidRPr="00014489" w:rsidRDefault="00014489" w:rsidP="00E86082">
      <w:pPr>
        <w:spacing w:after="0" w:line="240" w:lineRule="auto"/>
        <w:jc w:val="both"/>
        <w:rPr>
          <w:rFonts w:asciiTheme="minorHAnsi" w:hAnsiTheme="minorHAnsi"/>
          <w:sz w:val="24"/>
          <w:u w:val="single"/>
        </w:rPr>
      </w:pPr>
      <w:r w:rsidRPr="00014489">
        <w:rPr>
          <w:rFonts w:asciiTheme="minorHAnsi" w:hAnsiTheme="minorHAnsi"/>
          <w:sz w:val="24"/>
          <w:u w:val="single"/>
        </w:rPr>
        <w:t>Conformación de la OIR</w:t>
      </w:r>
    </w:p>
    <w:p w:rsidR="00014489" w:rsidRDefault="00014489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1924"/>
        <w:gridCol w:w="2914"/>
      </w:tblGrid>
      <w:tr w:rsidR="00014489" w:rsidTr="00014489">
        <w:tc>
          <w:tcPr>
            <w:tcW w:w="0" w:type="auto"/>
          </w:tcPr>
          <w:p w:rsidR="00014489" w:rsidRPr="00014489" w:rsidRDefault="00014489" w:rsidP="00E86082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99"/>
              </w:rPr>
            </w:pPr>
            <w:r w:rsidRPr="00014489">
              <w:rPr>
                <w:rFonts w:asciiTheme="minorHAnsi" w:hAnsiTheme="minorHAnsi"/>
                <w:b/>
                <w:color w:val="000099"/>
              </w:rPr>
              <w:t>CARGO NOMINAL</w:t>
            </w:r>
          </w:p>
        </w:tc>
        <w:tc>
          <w:tcPr>
            <w:tcW w:w="0" w:type="auto"/>
          </w:tcPr>
          <w:p w:rsidR="00014489" w:rsidRPr="00014489" w:rsidRDefault="00014489" w:rsidP="00E86082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99"/>
              </w:rPr>
            </w:pPr>
            <w:r w:rsidRPr="00014489">
              <w:rPr>
                <w:rFonts w:asciiTheme="minorHAnsi" w:hAnsiTheme="minorHAnsi"/>
                <w:b/>
                <w:color w:val="000099"/>
              </w:rPr>
              <w:t>N° DE EMPLEADOS</w:t>
            </w:r>
          </w:p>
        </w:tc>
        <w:tc>
          <w:tcPr>
            <w:tcW w:w="0" w:type="auto"/>
          </w:tcPr>
          <w:p w:rsidR="00014489" w:rsidRPr="00014489" w:rsidRDefault="00014489" w:rsidP="00E86082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99"/>
              </w:rPr>
            </w:pPr>
            <w:r w:rsidRPr="00014489">
              <w:rPr>
                <w:rFonts w:asciiTheme="minorHAnsi" w:hAnsiTheme="minorHAnsi"/>
                <w:b/>
                <w:color w:val="000099"/>
              </w:rPr>
              <w:t>REMUNERACION POR CARGO</w:t>
            </w:r>
          </w:p>
        </w:tc>
      </w:tr>
      <w:tr w:rsidR="00014489" w:rsidTr="00014489">
        <w:tc>
          <w:tcPr>
            <w:tcW w:w="0" w:type="auto"/>
          </w:tcPr>
          <w:p w:rsidR="00014489" w:rsidRPr="00014489" w:rsidRDefault="00014489" w:rsidP="00E8608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Oficial de Información</w:t>
            </w:r>
          </w:p>
        </w:tc>
        <w:tc>
          <w:tcPr>
            <w:tcW w:w="0" w:type="auto"/>
          </w:tcPr>
          <w:p w:rsidR="00014489" w:rsidRPr="00014489" w:rsidRDefault="00014489" w:rsidP="0001448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1</w:t>
            </w:r>
          </w:p>
        </w:tc>
        <w:tc>
          <w:tcPr>
            <w:tcW w:w="0" w:type="auto"/>
          </w:tcPr>
          <w:p w:rsidR="00014489" w:rsidRPr="00014489" w:rsidRDefault="00014489" w:rsidP="00014489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$1,700.00</w:t>
            </w:r>
          </w:p>
        </w:tc>
      </w:tr>
      <w:tr w:rsidR="00014489" w:rsidTr="00014489">
        <w:tc>
          <w:tcPr>
            <w:tcW w:w="0" w:type="auto"/>
          </w:tcPr>
          <w:p w:rsidR="00014489" w:rsidRPr="00014489" w:rsidRDefault="00014489" w:rsidP="00E8608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Técnico OIR</w:t>
            </w:r>
          </w:p>
        </w:tc>
        <w:tc>
          <w:tcPr>
            <w:tcW w:w="0" w:type="auto"/>
          </w:tcPr>
          <w:p w:rsidR="00014489" w:rsidRPr="00014489" w:rsidRDefault="00014489" w:rsidP="0001448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1</w:t>
            </w:r>
          </w:p>
        </w:tc>
        <w:tc>
          <w:tcPr>
            <w:tcW w:w="0" w:type="auto"/>
          </w:tcPr>
          <w:p w:rsidR="00014489" w:rsidRPr="00014489" w:rsidRDefault="00014489" w:rsidP="00014489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$716.31</w:t>
            </w:r>
          </w:p>
        </w:tc>
      </w:tr>
      <w:tr w:rsidR="00014489" w:rsidTr="00014489">
        <w:tc>
          <w:tcPr>
            <w:tcW w:w="0" w:type="auto"/>
          </w:tcPr>
          <w:p w:rsidR="00014489" w:rsidRPr="00014489" w:rsidRDefault="00014489" w:rsidP="00E8608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Secretaria de Dirección</w:t>
            </w:r>
          </w:p>
        </w:tc>
        <w:tc>
          <w:tcPr>
            <w:tcW w:w="0" w:type="auto"/>
          </w:tcPr>
          <w:p w:rsidR="00014489" w:rsidRPr="00014489" w:rsidRDefault="00014489" w:rsidP="0001448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1</w:t>
            </w:r>
          </w:p>
        </w:tc>
        <w:tc>
          <w:tcPr>
            <w:tcW w:w="0" w:type="auto"/>
          </w:tcPr>
          <w:p w:rsidR="00014489" w:rsidRPr="00014489" w:rsidRDefault="00014489" w:rsidP="00014489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014489">
              <w:rPr>
                <w:rFonts w:asciiTheme="minorHAnsi" w:hAnsiTheme="minorHAnsi"/>
              </w:rPr>
              <w:t>$634.00</w:t>
            </w:r>
          </w:p>
        </w:tc>
      </w:tr>
    </w:tbl>
    <w:p w:rsidR="007959F3" w:rsidRDefault="007959F3" w:rsidP="00014489">
      <w:pPr>
        <w:spacing w:after="0" w:line="240" w:lineRule="auto"/>
        <w:jc w:val="both"/>
        <w:rPr>
          <w:rFonts w:asciiTheme="minorHAnsi" w:hAnsiTheme="minorHAnsi"/>
          <w:sz w:val="24"/>
          <w:u w:val="single"/>
        </w:rPr>
      </w:pPr>
    </w:p>
    <w:p w:rsidR="00014489" w:rsidRPr="00014489" w:rsidRDefault="00014489" w:rsidP="00014489">
      <w:pPr>
        <w:spacing w:after="0" w:line="240" w:lineRule="auto"/>
        <w:jc w:val="both"/>
        <w:rPr>
          <w:rFonts w:asciiTheme="minorHAnsi" w:hAnsiTheme="minorHAnsi"/>
          <w:sz w:val="24"/>
          <w:u w:val="single"/>
        </w:rPr>
      </w:pPr>
      <w:r w:rsidRPr="00014489">
        <w:rPr>
          <w:rFonts w:asciiTheme="minorHAnsi" w:hAnsiTheme="minorHAnsi"/>
          <w:sz w:val="24"/>
          <w:u w:val="single"/>
        </w:rPr>
        <w:t xml:space="preserve">Conformación de la </w:t>
      </w:r>
      <w:r>
        <w:rPr>
          <w:rFonts w:asciiTheme="minorHAnsi" w:hAnsiTheme="minorHAnsi"/>
          <w:sz w:val="24"/>
          <w:u w:val="single"/>
        </w:rPr>
        <w:t>UGDA</w:t>
      </w:r>
    </w:p>
    <w:p w:rsidR="00014489" w:rsidRDefault="00014489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511E54" w:rsidRDefault="00014489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08782C">
        <w:rPr>
          <w:rFonts w:asciiTheme="minorHAnsi" w:hAnsiTheme="minorHAnsi"/>
          <w:sz w:val="24"/>
        </w:rPr>
        <w:t xml:space="preserve">La UGDA se </w:t>
      </w:r>
      <w:r w:rsidR="00EB533E" w:rsidRPr="0008782C">
        <w:rPr>
          <w:rFonts w:asciiTheme="minorHAnsi" w:hAnsiTheme="minorHAnsi"/>
          <w:sz w:val="24"/>
        </w:rPr>
        <w:t>creó</w:t>
      </w:r>
      <w:r w:rsidRPr="0008782C">
        <w:rPr>
          <w:rFonts w:asciiTheme="minorHAnsi" w:hAnsiTheme="minorHAnsi"/>
          <w:sz w:val="24"/>
        </w:rPr>
        <w:t xml:space="preserve"> en </w:t>
      </w:r>
      <w:r w:rsidR="0008782C" w:rsidRPr="0008782C">
        <w:rPr>
          <w:rFonts w:asciiTheme="minorHAnsi" w:hAnsiTheme="minorHAnsi"/>
          <w:sz w:val="24"/>
        </w:rPr>
        <w:t>agosto</w:t>
      </w:r>
      <w:r w:rsidRPr="0008782C">
        <w:rPr>
          <w:rFonts w:asciiTheme="minorHAnsi" w:hAnsiTheme="minorHAnsi"/>
          <w:sz w:val="24"/>
        </w:rPr>
        <w:t xml:space="preserve"> de 2016,</w:t>
      </w:r>
      <w:r w:rsidR="00AA622F">
        <w:rPr>
          <w:rFonts w:asciiTheme="minorHAnsi" w:hAnsiTheme="minorHAnsi"/>
          <w:sz w:val="24"/>
        </w:rPr>
        <w:t xml:space="preserve"> pero es hasta en enero del presente </w:t>
      </w:r>
      <w:r>
        <w:rPr>
          <w:rFonts w:asciiTheme="minorHAnsi" w:hAnsiTheme="minorHAnsi"/>
          <w:sz w:val="24"/>
        </w:rPr>
        <w:t>año que se  contrató a la Oficial de Gestión Documental y Archivos</w:t>
      </w:r>
      <w:r w:rsidR="00EB533E">
        <w:rPr>
          <w:rFonts w:asciiTheme="minorHAnsi" w:hAnsiTheme="minorHAnsi"/>
          <w:sz w:val="24"/>
        </w:rPr>
        <w:t>, y solamente la integra la OGDA no tiene asignado más personal.</w:t>
      </w:r>
    </w:p>
    <w:p w:rsidR="00511E54" w:rsidRDefault="00511E54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511E54" w:rsidRDefault="00511E54">
      <w:p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 w:type="page"/>
      </w:r>
    </w:p>
    <w:p w:rsidR="00511E54" w:rsidRPr="00511E54" w:rsidRDefault="00511E54" w:rsidP="00E86082">
      <w:pPr>
        <w:spacing w:after="0" w:line="240" w:lineRule="auto"/>
        <w:jc w:val="both"/>
        <w:rPr>
          <w:rFonts w:asciiTheme="minorHAnsi" w:hAnsiTheme="minorHAnsi"/>
          <w:sz w:val="24"/>
          <w:u w:val="single"/>
        </w:rPr>
      </w:pPr>
      <w:r w:rsidRPr="00511E54">
        <w:rPr>
          <w:rFonts w:asciiTheme="minorHAnsi" w:hAnsiTheme="minorHAnsi"/>
          <w:sz w:val="24"/>
          <w:u w:val="single"/>
        </w:rPr>
        <w:t>Asistencia recibida por la OIR de otras instituciones:</w:t>
      </w:r>
    </w:p>
    <w:p w:rsidR="00511E54" w:rsidRDefault="00511E54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2"/>
        <w:gridCol w:w="1737"/>
        <w:gridCol w:w="1535"/>
        <w:gridCol w:w="4120"/>
      </w:tblGrid>
      <w:tr w:rsidR="00511E54" w:rsidTr="00511E54">
        <w:tc>
          <w:tcPr>
            <w:tcW w:w="0" w:type="auto"/>
          </w:tcPr>
          <w:p w:rsidR="00511E54" w:rsidRPr="00511E54" w:rsidRDefault="00511E54" w:rsidP="00511E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511E54">
              <w:rPr>
                <w:rFonts w:asciiTheme="minorHAnsi" w:hAnsiTheme="minorHAnsi"/>
                <w:b/>
                <w:sz w:val="20"/>
              </w:rPr>
              <w:t>TIPO DE ASISTENCIA</w:t>
            </w:r>
          </w:p>
        </w:tc>
        <w:tc>
          <w:tcPr>
            <w:tcW w:w="0" w:type="auto"/>
          </w:tcPr>
          <w:p w:rsidR="00511E54" w:rsidRPr="00511E54" w:rsidRDefault="00511E54" w:rsidP="00511E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511E54">
              <w:rPr>
                <w:rFonts w:asciiTheme="minorHAnsi" w:hAnsiTheme="minorHAnsi"/>
                <w:b/>
                <w:sz w:val="20"/>
              </w:rPr>
              <w:t>NOMBRE DE LA INSTITUCIÓN</w:t>
            </w:r>
          </w:p>
        </w:tc>
        <w:tc>
          <w:tcPr>
            <w:tcW w:w="0" w:type="auto"/>
          </w:tcPr>
          <w:p w:rsidR="00511E54" w:rsidRPr="00511E54" w:rsidRDefault="00511E54" w:rsidP="00511E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511E54">
              <w:rPr>
                <w:rFonts w:asciiTheme="minorHAnsi" w:hAnsiTheme="minorHAnsi"/>
                <w:b/>
                <w:sz w:val="20"/>
              </w:rPr>
              <w:t>TIPO DE INSTITUCIÓN</w:t>
            </w:r>
          </w:p>
        </w:tc>
        <w:tc>
          <w:tcPr>
            <w:tcW w:w="0" w:type="auto"/>
          </w:tcPr>
          <w:p w:rsidR="00511E54" w:rsidRPr="00511E54" w:rsidRDefault="00511E54" w:rsidP="00511E5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511E54">
              <w:rPr>
                <w:rFonts w:asciiTheme="minorHAnsi" w:hAnsiTheme="minorHAnsi"/>
                <w:b/>
                <w:sz w:val="20"/>
              </w:rPr>
              <w:t>DESCRIPCION DE LA ASISTENCIA</w:t>
            </w:r>
          </w:p>
        </w:tc>
      </w:tr>
      <w:tr w:rsidR="00511E54" w:rsidTr="00511E54"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TECNICA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IAIP-CAPRES</w:t>
            </w:r>
            <w:r w:rsidR="00386EAB">
              <w:rPr>
                <w:rFonts w:asciiTheme="minorHAnsi" w:hAnsiTheme="minorHAnsi"/>
                <w:sz w:val="20"/>
              </w:rPr>
              <w:t xml:space="preserve"> (SPTA)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PUBLICA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CAPACITACION A LOS OFICIALES DE INFORMACION Y AL PERSONAL DE LA OIR SOBRE  LAIP, RELAIP y LINEAMIENTOS</w:t>
            </w:r>
          </w:p>
        </w:tc>
      </w:tr>
      <w:tr w:rsidR="00511E54" w:rsidTr="00511E54"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INFORMATICA</w:t>
            </w:r>
          </w:p>
        </w:tc>
        <w:tc>
          <w:tcPr>
            <w:tcW w:w="0" w:type="auto"/>
          </w:tcPr>
          <w:p w:rsidR="00511E54" w:rsidRPr="00511E54" w:rsidRDefault="00386EAB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CAPRES (SPTA)</w:t>
            </w:r>
          </w:p>
        </w:tc>
        <w:tc>
          <w:tcPr>
            <w:tcW w:w="0" w:type="auto"/>
          </w:tcPr>
          <w:p w:rsidR="00511E54" w:rsidRPr="00511E54" w:rsidRDefault="00386EAB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PUBLICA</w:t>
            </w:r>
          </w:p>
        </w:tc>
        <w:tc>
          <w:tcPr>
            <w:tcW w:w="0" w:type="auto"/>
          </w:tcPr>
          <w:p w:rsidR="00511E54" w:rsidRPr="00511E54" w:rsidRDefault="00386EAB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SGS</w:t>
            </w:r>
          </w:p>
        </w:tc>
      </w:tr>
      <w:tr w:rsidR="00511E54" w:rsidTr="00511E54"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JURIDICA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IAIP-CAPRES</w:t>
            </w:r>
            <w:r w:rsidR="00386EAB">
              <w:rPr>
                <w:rFonts w:asciiTheme="minorHAnsi" w:hAnsiTheme="minorHAnsi"/>
                <w:sz w:val="20"/>
              </w:rPr>
              <w:t xml:space="preserve"> (SPTA)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PUBLICA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ASESORIA, ORNTACION, RESOLUCIONES</w:t>
            </w:r>
          </w:p>
        </w:tc>
      </w:tr>
      <w:tr w:rsidR="00511E54" w:rsidTr="00511E54"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ECONOMICA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511E54" w:rsidTr="00511E54"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MATERIAL DIVULGATIVO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IAIP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PUBLICA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EJEMPLARES  LA LAIP Y RLAIP</w:t>
            </w:r>
          </w:p>
        </w:tc>
      </w:tr>
      <w:tr w:rsidR="00511E54" w:rsidTr="00511E54"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OTROS</w:t>
            </w: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</w:tcPr>
          <w:p w:rsidR="00511E54" w:rsidRPr="00511E54" w:rsidRDefault="00511E54" w:rsidP="00E8608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:rsidR="00DB408E" w:rsidRPr="00DB408E" w:rsidRDefault="00EB533E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 xml:space="preserve"> </w:t>
      </w:r>
    </w:p>
    <w:p w:rsidR="007959F3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54" w:rsidRDefault="00511E54" w:rsidP="00F425A5">
      <w:pPr>
        <w:spacing w:after="0" w:line="240" w:lineRule="auto"/>
      </w:pPr>
      <w:r>
        <w:separator/>
      </w:r>
    </w:p>
  </w:endnote>
  <w:endnote w:type="continuationSeparator" w:id="0">
    <w:p w:rsidR="00511E54" w:rsidRDefault="00511E5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E1604" w:rsidRPr="00AE160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E1604" w:rsidRPr="00AE160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E1604" w:rsidRPr="00AE160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E1604" w:rsidRPr="00AE160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54" w:rsidRDefault="00511E54" w:rsidP="00F425A5">
      <w:pPr>
        <w:spacing w:after="0" w:line="240" w:lineRule="auto"/>
      </w:pPr>
      <w:r>
        <w:separator/>
      </w:r>
    </w:p>
  </w:footnote>
  <w:footnote w:type="continuationSeparator" w:id="0">
    <w:p w:rsidR="00511E54" w:rsidRDefault="00511E5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6E1A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04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4A7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A33D5-977F-4A32-ACFA-01B42376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2017-06-06T02:01:00Z</cp:lastPrinted>
  <dcterms:created xsi:type="dcterms:W3CDTF">2017-06-06T02:03:00Z</dcterms:created>
  <dcterms:modified xsi:type="dcterms:W3CDTF">2017-06-06T02:05:00Z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