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16B" w:rsidRDefault="00A9716B" w:rsidP="00A9716B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C00000"/>
          <w:sz w:val="16"/>
          <w:szCs w:val="16"/>
        </w:rPr>
      </w:pPr>
      <w:r>
        <w:rPr>
          <w:rFonts w:asciiTheme="minorHAnsi" w:eastAsia="Arial Unicode MS" w:hAnsiTheme="minorHAnsi" w:cs="Arial Unicode MS"/>
          <w:b/>
          <w:color w:val="C00000"/>
          <w:sz w:val="16"/>
          <w:szCs w:val="16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9716B" w:rsidRDefault="00A9716B" w:rsidP="00EE204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</w:p>
    <w:p w:rsidR="00714AA6" w:rsidRPr="00EE204D" w:rsidRDefault="00714AA6" w:rsidP="00EE204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</w:pPr>
      <w:r w:rsidRPr="00EE204D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RESOLUCIÓN </w:t>
      </w:r>
      <w:r w:rsidR="00A6281C" w:rsidRPr="00EE204D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EN RESPUESTA A </w:t>
      </w:r>
      <w:r w:rsidRPr="00EE204D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SOLICITUD</w:t>
      </w:r>
      <w:r w:rsidR="00A6281C" w:rsidRPr="00EE204D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DE </w:t>
      </w:r>
      <w:r w:rsidR="00C1025A" w:rsidRPr="00EE204D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INFORMACIÓN </w:t>
      </w:r>
      <w:r w:rsidR="00C1025A" w:rsidRPr="00EE204D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MAG</w:t>
      </w:r>
      <w:r w:rsidR="005029E0" w:rsidRPr="00EE204D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 OIR </w:t>
      </w:r>
      <w:r w:rsidR="00A05D71" w:rsidRPr="00EE204D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N</w:t>
      </w:r>
      <w:r w:rsidR="00640AA6" w:rsidRPr="00EE204D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° </w:t>
      </w:r>
      <w:r w:rsidR="00E56468" w:rsidRPr="00EE204D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1</w:t>
      </w:r>
      <w:r w:rsidR="000A4152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40</w:t>
      </w:r>
      <w:r w:rsidR="0065633F" w:rsidRPr="00EE204D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-201</w:t>
      </w:r>
      <w:r w:rsidR="005029E0" w:rsidRPr="00EE204D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7</w:t>
      </w:r>
    </w:p>
    <w:p w:rsidR="00C71E8E" w:rsidRPr="00EE204D" w:rsidRDefault="00C71E8E" w:rsidP="00EE204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4"/>
        </w:rPr>
      </w:pPr>
    </w:p>
    <w:p w:rsidR="00982A15" w:rsidRPr="00EE204D" w:rsidRDefault="00714AA6" w:rsidP="00EE204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Cs w:val="24"/>
        </w:rPr>
      </w:pPr>
      <w:r w:rsidRPr="00EE204D">
        <w:rPr>
          <w:rFonts w:asciiTheme="minorHAnsi" w:eastAsia="Arial Unicode MS" w:hAnsiTheme="minorHAnsi" w:cs="Arial Unicode MS"/>
          <w:szCs w:val="24"/>
        </w:rPr>
        <w:t xml:space="preserve">Santa Tecla, </w:t>
      </w:r>
      <w:r w:rsidR="00B70104" w:rsidRPr="00EE204D">
        <w:rPr>
          <w:rFonts w:asciiTheme="minorHAnsi" w:eastAsia="Arial Unicode MS" w:hAnsiTheme="minorHAnsi" w:cs="Arial Unicode MS"/>
          <w:szCs w:val="24"/>
        </w:rPr>
        <w:t xml:space="preserve">departamento de La Libertad </w:t>
      </w:r>
      <w:r w:rsidRPr="00EE204D">
        <w:rPr>
          <w:rFonts w:asciiTheme="minorHAnsi" w:eastAsia="Arial Unicode MS" w:hAnsiTheme="minorHAnsi" w:cs="Arial Unicode MS"/>
          <w:szCs w:val="24"/>
        </w:rPr>
        <w:t xml:space="preserve">a las </w:t>
      </w:r>
      <w:r w:rsidR="00763B38" w:rsidRPr="00EE204D">
        <w:rPr>
          <w:rFonts w:asciiTheme="minorHAnsi" w:eastAsia="Arial Unicode MS" w:hAnsiTheme="minorHAnsi" w:cs="Arial Unicode MS"/>
          <w:color w:val="000099"/>
          <w:szCs w:val="24"/>
        </w:rPr>
        <w:t>c</w:t>
      </w:r>
      <w:r w:rsidR="000A4152">
        <w:rPr>
          <w:rFonts w:asciiTheme="minorHAnsi" w:eastAsia="Arial Unicode MS" w:hAnsiTheme="minorHAnsi" w:cs="Arial Unicode MS"/>
          <w:color w:val="000099"/>
          <w:szCs w:val="24"/>
        </w:rPr>
        <w:t xml:space="preserve">atorce </w:t>
      </w:r>
      <w:r w:rsidR="006903E2" w:rsidRPr="00EE204D">
        <w:rPr>
          <w:rFonts w:asciiTheme="minorHAnsi" w:eastAsia="Arial Unicode MS" w:hAnsiTheme="minorHAnsi" w:cs="Arial Unicode MS"/>
          <w:color w:val="000099"/>
          <w:szCs w:val="24"/>
        </w:rPr>
        <w:t>horas</w:t>
      </w:r>
      <w:r w:rsidR="005029E0" w:rsidRPr="00EE204D">
        <w:rPr>
          <w:rFonts w:asciiTheme="minorHAnsi" w:eastAsia="Arial Unicode MS" w:hAnsiTheme="minorHAnsi" w:cs="Arial Unicode MS"/>
          <w:color w:val="000099"/>
          <w:szCs w:val="24"/>
        </w:rPr>
        <w:t xml:space="preserve"> </w:t>
      </w:r>
      <w:r w:rsidR="00763B38" w:rsidRPr="00EE204D">
        <w:rPr>
          <w:rFonts w:asciiTheme="minorHAnsi" w:eastAsia="Arial Unicode MS" w:hAnsiTheme="minorHAnsi" w:cs="Arial Unicode MS"/>
          <w:color w:val="000099"/>
          <w:szCs w:val="24"/>
        </w:rPr>
        <w:t xml:space="preserve">con </w:t>
      </w:r>
      <w:r w:rsidR="000A4152">
        <w:rPr>
          <w:rFonts w:asciiTheme="minorHAnsi" w:eastAsia="Arial Unicode MS" w:hAnsiTheme="minorHAnsi" w:cs="Arial Unicode MS"/>
          <w:color w:val="000099"/>
          <w:szCs w:val="24"/>
        </w:rPr>
        <w:t xml:space="preserve">treinta </w:t>
      </w:r>
      <w:r w:rsidR="00763B38" w:rsidRPr="00EE204D">
        <w:rPr>
          <w:rFonts w:asciiTheme="minorHAnsi" w:eastAsia="Arial Unicode MS" w:hAnsiTheme="minorHAnsi" w:cs="Arial Unicode MS"/>
          <w:color w:val="000099"/>
          <w:szCs w:val="24"/>
        </w:rPr>
        <w:t xml:space="preserve">minutos </w:t>
      </w:r>
      <w:r w:rsidRPr="00EE204D">
        <w:rPr>
          <w:rFonts w:asciiTheme="minorHAnsi" w:eastAsia="Arial Unicode MS" w:hAnsiTheme="minorHAnsi" w:cs="Arial Unicode MS"/>
          <w:color w:val="000099"/>
          <w:szCs w:val="24"/>
        </w:rPr>
        <w:t>del día</w:t>
      </w:r>
      <w:r w:rsidR="00625FC7" w:rsidRPr="00EE204D">
        <w:rPr>
          <w:rFonts w:asciiTheme="minorHAnsi" w:eastAsia="Arial Unicode MS" w:hAnsiTheme="minorHAnsi" w:cs="Arial Unicode MS"/>
          <w:color w:val="000099"/>
          <w:szCs w:val="24"/>
        </w:rPr>
        <w:t xml:space="preserve"> </w:t>
      </w:r>
      <w:r w:rsidR="00141DFD" w:rsidRPr="00EE204D">
        <w:rPr>
          <w:rFonts w:asciiTheme="minorHAnsi" w:eastAsia="Arial Unicode MS" w:hAnsiTheme="minorHAnsi" w:cs="Arial Unicode MS"/>
          <w:color w:val="000099"/>
          <w:szCs w:val="24"/>
        </w:rPr>
        <w:t>veinti</w:t>
      </w:r>
      <w:r w:rsidR="00763B38" w:rsidRPr="00EE204D">
        <w:rPr>
          <w:rFonts w:asciiTheme="minorHAnsi" w:eastAsia="Arial Unicode MS" w:hAnsiTheme="minorHAnsi" w:cs="Arial Unicode MS"/>
          <w:color w:val="000099"/>
          <w:szCs w:val="24"/>
        </w:rPr>
        <w:t>c</w:t>
      </w:r>
      <w:r w:rsidR="000A4152">
        <w:rPr>
          <w:rFonts w:asciiTheme="minorHAnsi" w:eastAsia="Arial Unicode MS" w:hAnsiTheme="minorHAnsi" w:cs="Arial Unicode MS"/>
          <w:color w:val="000099"/>
          <w:szCs w:val="24"/>
        </w:rPr>
        <w:t xml:space="preserve">inco </w:t>
      </w:r>
      <w:r w:rsidR="00E56468" w:rsidRPr="00EE204D">
        <w:rPr>
          <w:rFonts w:asciiTheme="minorHAnsi" w:eastAsia="Arial Unicode MS" w:hAnsiTheme="minorHAnsi" w:cs="Arial Unicode MS"/>
          <w:color w:val="000099"/>
          <w:szCs w:val="24"/>
        </w:rPr>
        <w:t xml:space="preserve">de mayo </w:t>
      </w:r>
      <w:r w:rsidR="00625FC7" w:rsidRPr="00EE204D">
        <w:rPr>
          <w:rFonts w:asciiTheme="minorHAnsi" w:eastAsia="Arial Unicode MS" w:hAnsiTheme="minorHAnsi" w:cs="Arial Unicode MS"/>
          <w:color w:val="000099"/>
          <w:szCs w:val="24"/>
        </w:rPr>
        <w:t xml:space="preserve">de </w:t>
      </w:r>
      <w:r w:rsidR="00F80542" w:rsidRPr="00EE204D">
        <w:rPr>
          <w:rFonts w:asciiTheme="minorHAnsi" w:eastAsia="Arial Unicode MS" w:hAnsiTheme="minorHAnsi" w:cs="Arial Unicode MS"/>
          <w:color w:val="000099"/>
          <w:szCs w:val="24"/>
        </w:rPr>
        <w:t>dos mil diecisiete</w:t>
      </w:r>
      <w:r w:rsidRPr="00EE204D">
        <w:rPr>
          <w:rFonts w:asciiTheme="minorHAnsi" w:eastAsia="Arial Unicode MS" w:hAnsiTheme="minorHAnsi" w:cs="Arial Unicode MS"/>
          <w:szCs w:val="24"/>
        </w:rPr>
        <w:t>, el Ministerio de Agricultura y Ganadería luego de haber recibido y admitido la solicitud de información</w:t>
      </w:r>
      <w:r w:rsidR="009C6B93" w:rsidRPr="00EE204D">
        <w:rPr>
          <w:rFonts w:asciiTheme="minorHAnsi" w:eastAsia="Arial Unicode MS" w:hAnsiTheme="minorHAnsi" w:cs="Arial Unicode MS"/>
          <w:szCs w:val="24"/>
        </w:rPr>
        <w:t xml:space="preserve"> </w:t>
      </w:r>
      <w:r w:rsidR="005029E0" w:rsidRPr="00EE204D">
        <w:rPr>
          <w:rFonts w:asciiTheme="minorHAnsi" w:eastAsia="Arial Unicode MS" w:hAnsiTheme="minorHAnsi" w:cs="Arial Unicode MS"/>
          <w:b/>
          <w:color w:val="000099"/>
          <w:szCs w:val="24"/>
        </w:rPr>
        <w:t>MAG OIR</w:t>
      </w:r>
      <w:r w:rsidR="005029E0" w:rsidRPr="00EE204D">
        <w:rPr>
          <w:rFonts w:asciiTheme="minorHAnsi" w:eastAsia="Arial Unicode MS" w:hAnsiTheme="minorHAnsi" w:cs="Arial Unicode MS"/>
          <w:szCs w:val="24"/>
        </w:rPr>
        <w:t xml:space="preserve"> </w:t>
      </w:r>
      <w:r w:rsidRPr="00EE204D">
        <w:rPr>
          <w:rFonts w:asciiTheme="minorHAnsi" w:eastAsia="Arial Unicode MS" w:hAnsiTheme="minorHAnsi" w:cs="Arial Unicode MS"/>
          <w:b/>
          <w:color w:val="000099"/>
          <w:szCs w:val="24"/>
        </w:rPr>
        <w:t xml:space="preserve">No. </w:t>
      </w:r>
      <w:r w:rsidR="00E56468" w:rsidRPr="00EE204D">
        <w:rPr>
          <w:rFonts w:asciiTheme="minorHAnsi" w:eastAsia="Arial Unicode MS" w:hAnsiTheme="minorHAnsi" w:cs="Arial Unicode MS"/>
          <w:b/>
          <w:color w:val="000099"/>
          <w:szCs w:val="24"/>
        </w:rPr>
        <w:t>1</w:t>
      </w:r>
      <w:r w:rsidR="000A4152">
        <w:rPr>
          <w:rFonts w:asciiTheme="minorHAnsi" w:eastAsia="Arial Unicode MS" w:hAnsiTheme="minorHAnsi" w:cs="Arial Unicode MS"/>
          <w:b/>
          <w:color w:val="000099"/>
          <w:szCs w:val="24"/>
        </w:rPr>
        <w:t>40</w:t>
      </w:r>
      <w:r w:rsidR="005029E0" w:rsidRPr="00EE204D">
        <w:rPr>
          <w:rFonts w:asciiTheme="minorHAnsi" w:eastAsia="Arial Unicode MS" w:hAnsiTheme="minorHAnsi" w:cs="Arial Unicode MS"/>
          <w:b/>
          <w:color w:val="000099"/>
          <w:szCs w:val="24"/>
        </w:rPr>
        <w:t>-2017</w:t>
      </w:r>
      <w:r w:rsidR="00E757D8" w:rsidRPr="00EE204D">
        <w:rPr>
          <w:rFonts w:asciiTheme="minorHAnsi" w:eastAsia="Arial Unicode MS" w:hAnsiTheme="minorHAnsi" w:cs="Arial Unicode MS"/>
          <w:szCs w:val="24"/>
        </w:rPr>
        <w:t xml:space="preserve"> </w:t>
      </w:r>
      <w:r w:rsidRPr="00EE204D">
        <w:rPr>
          <w:rFonts w:asciiTheme="minorHAnsi" w:eastAsia="Arial Unicode MS" w:hAnsiTheme="minorHAnsi" w:cs="Arial Unicode MS"/>
          <w:szCs w:val="24"/>
        </w:rPr>
        <w:t>sobre:</w:t>
      </w:r>
    </w:p>
    <w:p w:rsidR="00763B38" w:rsidRPr="00EE204D" w:rsidRDefault="00763B38" w:rsidP="00EE204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4"/>
        </w:rPr>
      </w:pPr>
    </w:p>
    <w:p w:rsidR="000A4152" w:rsidRPr="000A4152" w:rsidRDefault="000A4152" w:rsidP="000A415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i/>
          <w:color w:val="000099"/>
          <w:szCs w:val="24"/>
          <w:lang w:val="x-none"/>
        </w:rPr>
      </w:pPr>
      <w:r w:rsidRPr="000A4152">
        <w:rPr>
          <w:rFonts w:asciiTheme="minorHAnsi" w:eastAsia="Arial Unicode MS" w:hAnsiTheme="minorHAnsi" w:cs="Arial Unicode MS"/>
          <w:i/>
          <w:color w:val="000099"/>
          <w:szCs w:val="24"/>
          <w:lang w:val="x-none"/>
        </w:rPr>
        <w:t>"Indicar cómo se realiza el cálculo del área de uso restringido, de acuerdo al art. 23 b) de la Ley</w:t>
      </w:r>
      <w:r>
        <w:rPr>
          <w:rFonts w:asciiTheme="minorHAnsi" w:eastAsia="Arial Unicode MS" w:hAnsiTheme="minorHAnsi" w:cs="Arial Unicode MS"/>
          <w:i/>
          <w:color w:val="000099"/>
          <w:szCs w:val="24"/>
        </w:rPr>
        <w:t xml:space="preserve"> </w:t>
      </w:r>
      <w:r w:rsidRPr="000A4152">
        <w:rPr>
          <w:rFonts w:asciiTheme="minorHAnsi" w:eastAsia="Arial Unicode MS" w:hAnsiTheme="minorHAnsi" w:cs="Arial Unicode MS"/>
          <w:i/>
          <w:color w:val="000099"/>
          <w:szCs w:val="24"/>
          <w:lang w:val="x-none"/>
        </w:rPr>
        <w:t>Forestal. Esquematizar en la sección (grafica adjunta) cómo se realizaría la delimitación del área de</w:t>
      </w:r>
    </w:p>
    <w:p w:rsidR="000A4152" w:rsidRPr="000A4152" w:rsidRDefault="000A4152" w:rsidP="00EE204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Cs w:val="24"/>
        </w:rPr>
      </w:pPr>
      <w:r w:rsidRPr="000A4152">
        <w:rPr>
          <w:rFonts w:asciiTheme="minorHAnsi" w:eastAsia="Arial Unicode MS" w:hAnsiTheme="minorHAnsi" w:cs="Arial Unicode MS"/>
          <w:i/>
          <w:color w:val="000099"/>
          <w:szCs w:val="24"/>
          <w:lang w:val="x-none"/>
        </w:rPr>
        <w:t>uso restringido".</w:t>
      </w:r>
    </w:p>
    <w:p w:rsidR="00E56468" w:rsidRPr="00EE204D" w:rsidRDefault="00E56468" w:rsidP="00EE204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4"/>
        </w:rPr>
      </w:pPr>
    </w:p>
    <w:p w:rsidR="00B5477D" w:rsidRPr="00EE204D" w:rsidRDefault="00BE0B9D" w:rsidP="00EE204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Cs w:val="24"/>
        </w:rPr>
      </w:pPr>
      <w:r w:rsidRPr="00EE204D">
        <w:rPr>
          <w:rFonts w:asciiTheme="minorHAnsi" w:eastAsia="Arial Unicode MS" w:hAnsiTheme="minorHAnsi" w:cs="Arial Unicode MS"/>
          <w:szCs w:val="24"/>
        </w:rPr>
        <w:t>P</w:t>
      </w:r>
      <w:r w:rsidR="00EE4B7D" w:rsidRPr="00EE204D">
        <w:rPr>
          <w:rFonts w:asciiTheme="minorHAnsi" w:eastAsia="Arial Unicode MS" w:hAnsiTheme="minorHAnsi" w:cs="Arial Unicode MS"/>
          <w:szCs w:val="24"/>
        </w:rPr>
        <w:t>resentada ante la Oficina de Información y Respuesta de esta dependencia por parte de:</w:t>
      </w:r>
      <w:r w:rsidR="00963746" w:rsidRPr="00EE204D">
        <w:rPr>
          <w:rFonts w:asciiTheme="minorHAnsi" w:eastAsia="Arial Unicode MS" w:hAnsiTheme="minorHAnsi" w:cs="Arial Unicode MS"/>
          <w:szCs w:val="24"/>
        </w:rPr>
        <w:t xml:space="preserve"> </w:t>
      </w:r>
      <w:proofErr w:type="spellStart"/>
      <w:r w:rsidR="00A9716B" w:rsidRPr="00A9716B">
        <w:rPr>
          <w:rFonts w:asciiTheme="minorHAnsi" w:eastAsia="Arial Unicode MS" w:hAnsiTheme="minorHAnsi" w:cs="Arial Unicode MS"/>
          <w:b/>
          <w:color w:val="000099"/>
          <w:szCs w:val="24"/>
          <w:highlight w:val="darkBlue"/>
        </w:rPr>
        <w:t>xxxxxxxxxxxxxxx</w:t>
      </w:r>
      <w:bookmarkStart w:id="0" w:name="_GoBack"/>
      <w:bookmarkEnd w:id="0"/>
      <w:proofErr w:type="spellEnd"/>
      <w:r w:rsidR="002C2836" w:rsidRPr="00EE204D">
        <w:rPr>
          <w:rFonts w:asciiTheme="minorHAnsi" w:eastAsia="Arial Unicode MS" w:hAnsiTheme="minorHAnsi" w:cs="Arial Unicode MS"/>
          <w:b/>
          <w:color w:val="000099"/>
          <w:szCs w:val="24"/>
        </w:rPr>
        <w:t>,</w:t>
      </w:r>
      <w:r w:rsidR="00547BFB" w:rsidRPr="00EE204D">
        <w:rPr>
          <w:rFonts w:asciiTheme="minorHAnsi" w:eastAsia="Arial Unicode MS" w:hAnsiTheme="minorHAnsi" w:cs="Arial Unicode MS"/>
          <w:color w:val="000099"/>
          <w:szCs w:val="24"/>
        </w:rPr>
        <w:t xml:space="preserve"> </w:t>
      </w:r>
      <w:r w:rsidR="00B5477D" w:rsidRPr="00EE204D">
        <w:rPr>
          <w:rFonts w:asciiTheme="minorHAnsi" w:eastAsia="Arial Unicode MS" w:hAnsiTheme="minorHAnsi" w:cs="Arial Unicode MS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EE204D">
        <w:rPr>
          <w:rFonts w:asciiTheme="minorHAnsi" w:eastAsia="Arial Unicode MS" w:hAnsiTheme="minorHAnsi" w:cs="Arial Unicode MS"/>
          <w:szCs w:val="24"/>
        </w:rPr>
        <w:t>resuelve</w:t>
      </w:r>
      <w:proofErr w:type="gramEnd"/>
      <w:r w:rsidR="00B5477D" w:rsidRPr="00EE204D">
        <w:rPr>
          <w:rFonts w:asciiTheme="minorHAnsi" w:eastAsia="Arial Unicode MS" w:hAnsiTheme="minorHAnsi" w:cs="Arial Unicode MS"/>
          <w:szCs w:val="24"/>
        </w:rPr>
        <w:t xml:space="preserve">: </w:t>
      </w:r>
    </w:p>
    <w:p w:rsidR="00B5477D" w:rsidRPr="00EE204D" w:rsidRDefault="00B5477D" w:rsidP="00EE204D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4"/>
        </w:rPr>
      </w:pPr>
    </w:p>
    <w:p w:rsidR="00126A4D" w:rsidRPr="00EE204D" w:rsidRDefault="00B5477D" w:rsidP="00EE204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Cs w:val="24"/>
        </w:rPr>
      </w:pPr>
      <w:r w:rsidRPr="00EE204D">
        <w:rPr>
          <w:rFonts w:asciiTheme="minorHAnsi" w:eastAsia="Arial Unicode MS" w:hAnsiTheme="minorHAnsi" w:cs="Arial Unicode MS"/>
          <w:b/>
          <w:color w:val="000099"/>
          <w:szCs w:val="24"/>
        </w:rPr>
        <w:t>PROPORCIONAR LA INFORMACIÓN PÚBLICA SOLICITADA</w:t>
      </w:r>
    </w:p>
    <w:p w:rsidR="00126A4D" w:rsidRPr="00EE204D" w:rsidRDefault="00126A4D" w:rsidP="00EE204D">
      <w:pPr>
        <w:spacing w:after="0" w:line="240" w:lineRule="auto"/>
        <w:jc w:val="both"/>
        <w:rPr>
          <w:rFonts w:asciiTheme="minorHAnsi" w:hAnsiTheme="minorHAnsi"/>
          <w:b/>
          <w:color w:val="000099"/>
          <w:sz w:val="12"/>
          <w:szCs w:val="24"/>
        </w:rPr>
      </w:pPr>
    </w:p>
    <w:p w:rsidR="000A4152" w:rsidRDefault="000A4152" w:rsidP="00EE204D">
      <w:pPr>
        <w:spacing w:after="0"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Por lo que se explica a continuación la respuesta brindada por la Dirección de Ordenamiento Forestal Cuencas y Riego DGFCR:</w:t>
      </w:r>
    </w:p>
    <w:p w:rsidR="000A4152" w:rsidRDefault="000A4152" w:rsidP="000A4152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p w:rsidR="000A4152" w:rsidRDefault="000A4152" w:rsidP="000A4152">
      <w:pPr>
        <w:spacing w:after="0"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Que según e</w:t>
      </w:r>
      <w:r w:rsidRPr="000A4152">
        <w:rPr>
          <w:rFonts w:asciiTheme="minorHAnsi" w:hAnsiTheme="minorHAnsi"/>
          <w:szCs w:val="24"/>
        </w:rPr>
        <w:t>l Articulo 23 literal</w:t>
      </w:r>
      <w:r>
        <w:rPr>
          <w:rFonts w:asciiTheme="minorHAnsi" w:hAnsiTheme="minorHAnsi"/>
          <w:szCs w:val="24"/>
        </w:rPr>
        <w:t xml:space="preserve"> </w:t>
      </w:r>
      <w:r w:rsidRPr="000A4152">
        <w:rPr>
          <w:rFonts w:asciiTheme="minorHAnsi" w:hAnsiTheme="minorHAnsi"/>
          <w:szCs w:val="24"/>
        </w:rPr>
        <w:t xml:space="preserve">b) de la Ley Forestal, donde se establece que </w:t>
      </w:r>
      <w:r w:rsidRPr="000A4152">
        <w:rPr>
          <w:rFonts w:asciiTheme="minorHAnsi" w:hAnsiTheme="minorHAnsi"/>
          <w:i/>
          <w:color w:val="0000CC"/>
          <w:szCs w:val="24"/>
        </w:rPr>
        <w:t>"los terrenos riberanos de ríos y quebradas en una extensión equivalente al doble de la mayor profundidad del cauce, medida en forma horizontal a partir del nivel más alto alcanzando por las aguas en ambas riberas en un periodo de retorno de cincuenta años"</w:t>
      </w:r>
      <w:r w:rsidRPr="000A4152">
        <w:rPr>
          <w:rFonts w:asciiTheme="minorHAnsi" w:hAnsiTheme="minorHAnsi"/>
          <w:szCs w:val="24"/>
        </w:rPr>
        <w:t>, por lo anterior expone que la forma del cálculo se hace de la siguiente forma:</w:t>
      </w:r>
    </w:p>
    <w:p w:rsidR="000A4152" w:rsidRDefault="000A4152" w:rsidP="000A4152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p w:rsidR="000A4152" w:rsidRPr="000A4152" w:rsidRDefault="000A4152" w:rsidP="000A4152">
      <w:pPr>
        <w:pStyle w:val="Prrafodelista"/>
        <w:numPr>
          <w:ilvl w:val="0"/>
          <w:numId w:val="16"/>
        </w:numPr>
        <w:spacing w:after="0" w:line="240" w:lineRule="auto"/>
        <w:ind w:left="360"/>
        <w:jc w:val="both"/>
        <w:rPr>
          <w:rFonts w:asciiTheme="minorHAnsi" w:hAnsiTheme="minorHAnsi"/>
          <w:szCs w:val="24"/>
        </w:rPr>
      </w:pPr>
      <w:r w:rsidRPr="000A4152">
        <w:rPr>
          <w:rFonts w:asciiTheme="minorHAnsi" w:hAnsiTheme="minorHAnsi"/>
          <w:szCs w:val="24"/>
        </w:rPr>
        <w:t>Establecer el punto o los puntos a lo largo del cauce del rio o quebrada donde procederá a determinar la zona de uso restringido.</w:t>
      </w:r>
    </w:p>
    <w:p w:rsidR="000A4152" w:rsidRDefault="000A4152" w:rsidP="000A4152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p w:rsidR="000A4152" w:rsidRPr="000A4152" w:rsidRDefault="000A4152" w:rsidP="000A4152">
      <w:pPr>
        <w:pStyle w:val="Prrafodelista"/>
        <w:numPr>
          <w:ilvl w:val="0"/>
          <w:numId w:val="16"/>
        </w:numPr>
        <w:spacing w:after="0" w:line="240" w:lineRule="auto"/>
        <w:ind w:left="360"/>
        <w:jc w:val="both"/>
        <w:rPr>
          <w:rFonts w:asciiTheme="minorHAnsi" w:hAnsiTheme="minorHAnsi"/>
          <w:szCs w:val="24"/>
        </w:rPr>
      </w:pPr>
      <w:r w:rsidRPr="000A4152">
        <w:rPr>
          <w:rFonts w:asciiTheme="minorHAnsi" w:hAnsiTheme="minorHAnsi"/>
          <w:szCs w:val="24"/>
        </w:rPr>
        <w:t xml:space="preserve">Determinar el punto del nivel alcanzado por el agua en ambas riberas (punto A y B de la figura 1 del anexo), en un periodo de retorno de cincuenta años. El </w:t>
      </w:r>
      <w:r w:rsidRPr="000A4152">
        <w:rPr>
          <w:rFonts w:asciiTheme="minorHAnsi" w:hAnsiTheme="minorHAnsi"/>
          <w:i/>
          <w:szCs w:val="24"/>
        </w:rPr>
        <w:t>periodo de retorno</w:t>
      </w:r>
      <w:r w:rsidRPr="000A4152">
        <w:rPr>
          <w:rFonts w:asciiTheme="minorHAnsi" w:hAnsiTheme="minorHAnsi"/>
          <w:szCs w:val="24"/>
        </w:rPr>
        <w:t xml:space="preserve"> es el tiempo esperado suficientemente largo para la ocurrencia de eventos naturales extremos, en este caso inundaciones severas. Dichos eventos no ocurren todos los años, pero si en forma periódica o recurrente. Lo que se procura es determinar las áreas que son inundables por eventos extremos, con probabilidad de ocurrencia en un lapso de tiempo, para el caso cincuenta años.</w:t>
      </w:r>
    </w:p>
    <w:p w:rsidR="000A4152" w:rsidRDefault="000A4152">
      <w:pPr>
        <w:spacing w:after="0" w:line="24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br w:type="page"/>
      </w:r>
    </w:p>
    <w:p w:rsidR="000A4152" w:rsidRDefault="000A4152" w:rsidP="000A4152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p w:rsidR="000A4152" w:rsidRPr="000A4152" w:rsidRDefault="000A4152" w:rsidP="000A4152">
      <w:pPr>
        <w:pStyle w:val="Prrafodelista"/>
        <w:numPr>
          <w:ilvl w:val="0"/>
          <w:numId w:val="16"/>
        </w:numPr>
        <w:spacing w:after="0" w:line="240" w:lineRule="auto"/>
        <w:ind w:left="360"/>
        <w:jc w:val="both"/>
        <w:rPr>
          <w:rFonts w:asciiTheme="minorHAnsi" w:hAnsiTheme="minorHAnsi"/>
          <w:szCs w:val="24"/>
        </w:rPr>
      </w:pPr>
      <w:r w:rsidRPr="000A4152">
        <w:rPr>
          <w:rFonts w:asciiTheme="minorHAnsi" w:hAnsiTheme="minorHAnsi"/>
          <w:szCs w:val="24"/>
        </w:rPr>
        <w:t>Determinar la mayor profundidad del cauce en un punto determinado (una línea horizontal imaginaria entre los puntos A y B de la figura 1 del anexo</w:t>
      </w:r>
      <w:r w:rsidR="00A32FC3">
        <w:rPr>
          <w:rFonts w:asciiTheme="minorHAnsi" w:hAnsiTheme="minorHAnsi"/>
          <w:szCs w:val="24"/>
        </w:rPr>
        <w:t xml:space="preserve"> a esta resolución</w:t>
      </w:r>
      <w:r w:rsidRPr="000A4152">
        <w:rPr>
          <w:rFonts w:asciiTheme="minorHAnsi" w:hAnsiTheme="minorHAnsi"/>
          <w:szCs w:val="24"/>
        </w:rPr>
        <w:t xml:space="preserve">) </w:t>
      </w:r>
    </w:p>
    <w:p w:rsidR="000A4152" w:rsidRDefault="000A4152" w:rsidP="000A4152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p w:rsidR="000A4152" w:rsidRPr="000A4152" w:rsidRDefault="000A4152" w:rsidP="000A4152">
      <w:pPr>
        <w:pStyle w:val="Prrafodelista"/>
        <w:numPr>
          <w:ilvl w:val="0"/>
          <w:numId w:val="16"/>
        </w:numPr>
        <w:spacing w:after="0" w:line="240" w:lineRule="auto"/>
        <w:ind w:left="360"/>
        <w:jc w:val="both"/>
        <w:rPr>
          <w:rFonts w:asciiTheme="minorHAnsi" w:hAnsiTheme="minorHAnsi"/>
          <w:szCs w:val="24"/>
        </w:rPr>
      </w:pPr>
      <w:r w:rsidRPr="000A4152">
        <w:rPr>
          <w:rFonts w:asciiTheme="minorHAnsi" w:hAnsiTheme="minorHAnsi"/>
          <w:szCs w:val="24"/>
        </w:rPr>
        <w:t>Medir la distancia a partir de los puntos A y B hacia adentro del terreno riberano (figura 2 del anexo</w:t>
      </w:r>
      <w:r w:rsidR="00A32FC3">
        <w:rPr>
          <w:rFonts w:asciiTheme="minorHAnsi" w:hAnsiTheme="minorHAnsi"/>
          <w:szCs w:val="24"/>
        </w:rPr>
        <w:t xml:space="preserve"> a esta resolución</w:t>
      </w:r>
      <w:r w:rsidRPr="000A4152">
        <w:rPr>
          <w:rFonts w:asciiTheme="minorHAnsi" w:hAnsiTheme="minorHAnsi"/>
          <w:szCs w:val="24"/>
        </w:rPr>
        <w:t>)</w:t>
      </w:r>
    </w:p>
    <w:p w:rsidR="000A4152" w:rsidRDefault="000A4152" w:rsidP="000A4152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p w:rsidR="000A4152" w:rsidRPr="000A4152" w:rsidRDefault="000A4152" w:rsidP="000A4152">
      <w:pPr>
        <w:pStyle w:val="Prrafodelista"/>
        <w:numPr>
          <w:ilvl w:val="0"/>
          <w:numId w:val="16"/>
        </w:numPr>
        <w:spacing w:after="0" w:line="240" w:lineRule="auto"/>
        <w:ind w:left="360"/>
        <w:jc w:val="both"/>
        <w:rPr>
          <w:rFonts w:asciiTheme="minorHAnsi" w:hAnsiTheme="minorHAnsi"/>
          <w:szCs w:val="24"/>
        </w:rPr>
      </w:pPr>
      <w:r w:rsidRPr="000A4152">
        <w:rPr>
          <w:rFonts w:asciiTheme="minorHAnsi" w:hAnsiTheme="minorHAnsi"/>
          <w:szCs w:val="24"/>
        </w:rPr>
        <w:t>Los puntos determinados a lo largo del cauce conforman el área de uso restringido.</w:t>
      </w:r>
    </w:p>
    <w:p w:rsidR="000A4152" w:rsidRDefault="000A4152" w:rsidP="00EE204D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p w:rsidR="000A4152" w:rsidRDefault="000A4152" w:rsidP="00EE204D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p w:rsidR="00EE204D" w:rsidRPr="00EE204D" w:rsidRDefault="00EE204D" w:rsidP="00EE204D">
      <w:pPr>
        <w:spacing w:after="0" w:line="240" w:lineRule="auto"/>
        <w:jc w:val="both"/>
        <w:rPr>
          <w:rFonts w:asciiTheme="minorHAnsi" w:hAnsiTheme="minorHAnsi"/>
          <w:sz w:val="12"/>
          <w:szCs w:val="24"/>
        </w:rPr>
      </w:pPr>
    </w:p>
    <w:p w:rsidR="00763B38" w:rsidRDefault="00763B38" w:rsidP="00EE204D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p w:rsidR="00B96C57" w:rsidRDefault="00B96C57" w:rsidP="00EE204D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p w:rsidR="00B96C57" w:rsidRDefault="00B96C57" w:rsidP="00EE204D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p w:rsidR="00B96C57" w:rsidRPr="00EE204D" w:rsidRDefault="00B96C57" w:rsidP="00EE204D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p w:rsidR="006903E2" w:rsidRDefault="006903E2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</w:p>
    <w:p w:rsidR="00586E0A" w:rsidRPr="00A32FC3" w:rsidRDefault="00EE204D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Cs w:val="24"/>
        </w:rPr>
      </w:pPr>
      <w:r w:rsidRPr="00A32FC3">
        <w:rPr>
          <w:rFonts w:asciiTheme="minorHAnsi" w:hAnsiTheme="minorHAnsi"/>
          <w:b/>
          <w:color w:val="000099"/>
          <w:szCs w:val="24"/>
        </w:rPr>
        <w:t xml:space="preserve">Lic. </w:t>
      </w:r>
      <w:r w:rsidR="00586E0A" w:rsidRPr="00A32FC3">
        <w:rPr>
          <w:rFonts w:asciiTheme="minorHAnsi" w:hAnsiTheme="minorHAnsi"/>
          <w:b/>
          <w:color w:val="000099"/>
          <w:szCs w:val="24"/>
        </w:rPr>
        <w:t>Ana Patricia Sánchez de Cruz</w:t>
      </w:r>
    </w:p>
    <w:p w:rsidR="00BB33BB" w:rsidRPr="00EE204D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99"/>
          <w:szCs w:val="24"/>
        </w:rPr>
      </w:pPr>
      <w:r w:rsidRPr="00EE204D">
        <w:rPr>
          <w:rFonts w:asciiTheme="minorHAnsi" w:hAnsiTheme="minorHAnsi"/>
          <w:color w:val="000099"/>
          <w:szCs w:val="24"/>
        </w:rPr>
        <w:t>Oficial de Información MAG OIR</w:t>
      </w:r>
    </w:p>
    <w:sectPr w:rsidR="00BB33BB" w:rsidRPr="00EE204D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CEB" w:rsidRDefault="00A06CEB" w:rsidP="00F425A5">
      <w:pPr>
        <w:spacing w:after="0" w:line="240" w:lineRule="auto"/>
      </w:pPr>
      <w:r>
        <w:separator/>
      </w:r>
    </w:p>
  </w:endnote>
  <w:endnote w:type="continuationSeparator" w:id="0">
    <w:p w:rsidR="00A06CEB" w:rsidRDefault="00A06CEB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A9716B" w:rsidRPr="00A9716B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A9716B" w:rsidRPr="00A9716B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2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A9716B" w:rsidRPr="00A9716B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A9716B" w:rsidRPr="00A9716B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2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764AF">
      <w:rPr>
        <w:sz w:val="18"/>
        <w:szCs w:val="16"/>
      </w:rPr>
      <w:t>A</w:t>
    </w:r>
    <w:r w:rsidR="00DB7A91" w:rsidRPr="00DB7A91">
      <w:rPr>
        <w:sz w:val="18"/>
        <w:szCs w:val="16"/>
      </w:rPr>
      <w:t>naliza</w:t>
    </w:r>
    <w:r w:rsidR="00D764AF">
      <w:rPr>
        <w:sz w:val="18"/>
        <w:szCs w:val="16"/>
      </w:rPr>
      <w:t>do</w:t>
    </w:r>
    <w:r w:rsidR="00DB7A91" w:rsidRPr="00DB7A91">
      <w:rPr>
        <w:sz w:val="18"/>
        <w:szCs w:val="16"/>
      </w:rPr>
      <w:t xml:space="preserve"> lo anteriormente expuesto</w:t>
    </w:r>
    <w:r w:rsidR="00D764AF">
      <w:rPr>
        <w:sz w:val="18"/>
        <w:szCs w:val="16"/>
      </w:rPr>
      <w:t xml:space="preserve">,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D764AF">
      <w:rPr>
        <w:sz w:val="18"/>
        <w:szCs w:val="16"/>
      </w:rPr>
      <w:t>normado</w:t>
    </w:r>
    <w:r>
      <w:rPr>
        <w:sz w:val="18"/>
        <w:szCs w:val="16"/>
      </w:rPr>
      <w:t xml:space="preserve">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CEB" w:rsidRDefault="00A06CEB" w:rsidP="00F425A5">
      <w:pPr>
        <w:spacing w:after="0" w:line="240" w:lineRule="auto"/>
      </w:pPr>
      <w:r>
        <w:separator/>
      </w:r>
    </w:p>
  </w:footnote>
  <w:footnote w:type="continuationSeparator" w:id="0">
    <w:p w:rsidR="00A06CEB" w:rsidRDefault="00A06CEB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34337"/>
    <w:multiLevelType w:val="hybridMultilevel"/>
    <w:tmpl w:val="99C0F540"/>
    <w:lvl w:ilvl="0" w:tplc="5198B55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31575D"/>
    <w:multiLevelType w:val="hybridMultilevel"/>
    <w:tmpl w:val="67EEA61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4D51B1"/>
    <w:multiLevelType w:val="hybridMultilevel"/>
    <w:tmpl w:val="5B2E713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9C729F"/>
    <w:multiLevelType w:val="hybridMultilevel"/>
    <w:tmpl w:val="19C018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5"/>
  </w:num>
  <w:num w:numId="5">
    <w:abstractNumId w:val="4"/>
  </w:num>
  <w:num w:numId="6">
    <w:abstractNumId w:val="13"/>
  </w:num>
  <w:num w:numId="7">
    <w:abstractNumId w:val="2"/>
  </w:num>
  <w:num w:numId="8">
    <w:abstractNumId w:val="9"/>
  </w:num>
  <w:num w:numId="9">
    <w:abstractNumId w:val="6"/>
  </w:num>
  <w:num w:numId="10">
    <w:abstractNumId w:val="5"/>
  </w:num>
  <w:num w:numId="11">
    <w:abstractNumId w:val="0"/>
  </w:num>
  <w:num w:numId="12">
    <w:abstractNumId w:val="7"/>
  </w:num>
  <w:num w:numId="13">
    <w:abstractNumId w:val="14"/>
  </w:num>
  <w:num w:numId="14">
    <w:abstractNumId w:val="3"/>
  </w:num>
  <w:num w:numId="15">
    <w:abstractNumId w:val="12"/>
  </w:num>
  <w:num w:numId="1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152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40F78"/>
    <w:rsid w:val="00141DFD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598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4B5A"/>
    <w:rsid w:val="004E7D1E"/>
    <w:rsid w:val="004F009D"/>
    <w:rsid w:val="004F333D"/>
    <w:rsid w:val="004F66CD"/>
    <w:rsid w:val="004F7AFC"/>
    <w:rsid w:val="00502540"/>
    <w:rsid w:val="005029E0"/>
    <w:rsid w:val="00503E14"/>
    <w:rsid w:val="00505879"/>
    <w:rsid w:val="00511814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25FC7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3E2"/>
    <w:rsid w:val="0069093C"/>
    <w:rsid w:val="00693D89"/>
    <w:rsid w:val="00694271"/>
    <w:rsid w:val="006A4190"/>
    <w:rsid w:val="006A5B13"/>
    <w:rsid w:val="006B0F8D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0737"/>
    <w:rsid w:val="00714AA6"/>
    <w:rsid w:val="00717C3E"/>
    <w:rsid w:val="00720A8D"/>
    <w:rsid w:val="00730FBC"/>
    <w:rsid w:val="0073156E"/>
    <w:rsid w:val="00736BF1"/>
    <w:rsid w:val="007450ED"/>
    <w:rsid w:val="00750E97"/>
    <w:rsid w:val="00755C25"/>
    <w:rsid w:val="00760376"/>
    <w:rsid w:val="00763B38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25432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391B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0253"/>
    <w:rsid w:val="008C173B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07FE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579EE"/>
    <w:rsid w:val="00960348"/>
    <w:rsid w:val="009620BB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D2BCC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6CEB"/>
    <w:rsid w:val="00A07A72"/>
    <w:rsid w:val="00A103BF"/>
    <w:rsid w:val="00A20838"/>
    <w:rsid w:val="00A23AEF"/>
    <w:rsid w:val="00A3099F"/>
    <w:rsid w:val="00A32FC3"/>
    <w:rsid w:val="00A34321"/>
    <w:rsid w:val="00A346A8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9716B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96C57"/>
    <w:rsid w:val="00BA0648"/>
    <w:rsid w:val="00BA441E"/>
    <w:rsid w:val="00BA4BEA"/>
    <w:rsid w:val="00BB14C2"/>
    <w:rsid w:val="00BB14D8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729"/>
    <w:rsid w:val="00D764AF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468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204D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3014"/>
    <w:rsid w:val="00F46D5D"/>
    <w:rsid w:val="00F56B70"/>
    <w:rsid w:val="00F614C1"/>
    <w:rsid w:val="00F661DE"/>
    <w:rsid w:val="00F66A77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018E0B-D97F-467B-AA89-8F0F5C3D8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465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46</cp:revision>
  <cp:lastPrinted>2017-05-25T20:44:00Z</cp:lastPrinted>
  <dcterms:created xsi:type="dcterms:W3CDTF">2017-01-11T20:49:00Z</dcterms:created>
  <dcterms:modified xsi:type="dcterms:W3CDTF">2017-05-25T20:57:00Z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