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413A51">
        <w:rPr>
          <w:rFonts w:cstheme="minorHAnsi"/>
          <w:b/>
          <w:color w:val="0000CC"/>
          <w:w w:val="102"/>
          <w:sz w:val="28"/>
          <w:szCs w:val="28"/>
          <w:u w:val="single"/>
        </w:rPr>
        <w:t>9</w:t>
      </w:r>
      <w:r w:rsidR="00F870BE">
        <w:rPr>
          <w:rFonts w:cstheme="minorHAnsi"/>
          <w:b/>
          <w:color w:val="0000CC"/>
          <w:w w:val="102"/>
          <w:sz w:val="28"/>
          <w:szCs w:val="28"/>
          <w:u w:val="single"/>
        </w:rPr>
        <w:t>9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A62657" w:rsidRDefault="002C7E2F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F870BE" w:rsidRPr="009979CB" w:rsidRDefault="00F870BE" w:rsidP="00F870B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0"/>
        </w:rPr>
      </w:pPr>
      <w:r w:rsidRPr="009979CB">
        <w:rPr>
          <w:rFonts w:eastAsia="Arial Unicode MS" w:cstheme="minorHAnsi"/>
          <w:w w:val="102"/>
          <w:szCs w:val="20"/>
        </w:rPr>
        <w:t>Santa Tecla,</w:t>
      </w:r>
      <w:r>
        <w:rPr>
          <w:rFonts w:eastAsia="Arial Unicode MS" w:cstheme="minorHAnsi"/>
          <w:w w:val="102"/>
          <w:szCs w:val="20"/>
        </w:rPr>
        <w:t xml:space="preserve"> </w:t>
      </w:r>
      <w:r w:rsidRPr="009979CB">
        <w:rPr>
          <w:rFonts w:eastAsia="Arial Unicode MS" w:cstheme="minorHAnsi"/>
          <w:w w:val="102"/>
          <w:szCs w:val="20"/>
        </w:rPr>
        <w:t>a</w:t>
      </w:r>
      <w:r>
        <w:rPr>
          <w:rFonts w:eastAsia="Arial Unicode MS" w:cstheme="minorHAnsi"/>
          <w:w w:val="102"/>
          <w:szCs w:val="20"/>
        </w:rPr>
        <w:t xml:space="preserve"> </w:t>
      </w:r>
      <w:r w:rsidRPr="009979CB">
        <w:rPr>
          <w:rFonts w:eastAsia="Arial Unicode MS" w:cstheme="minorHAnsi"/>
          <w:spacing w:val="1"/>
          <w:w w:val="102"/>
          <w:szCs w:val="20"/>
        </w:rPr>
        <w:t>l</w:t>
      </w:r>
      <w:r w:rsidRPr="009979CB">
        <w:rPr>
          <w:rFonts w:eastAsia="Arial Unicode MS" w:cstheme="minorHAnsi"/>
          <w:w w:val="102"/>
          <w:szCs w:val="20"/>
        </w:rPr>
        <w:t xml:space="preserve">as </w:t>
      </w:r>
      <w:r w:rsidRPr="009979CB">
        <w:rPr>
          <w:rFonts w:eastAsia="Arial Unicode MS" w:cstheme="minorHAnsi"/>
          <w:color w:val="C00000"/>
          <w:w w:val="102"/>
          <w:szCs w:val="20"/>
        </w:rPr>
        <w:t>catorce</w:t>
      </w:r>
      <w:r>
        <w:rPr>
          <w:rFonts w:eastAsia="Arial Unicode MS" w:cstheme="minorHAnsi"/>
          <w:color w:val="C00000"/>
          <w:w w:val="102"/>
          <w:szCs w:val="20"/>
        </w:rPr>
        <w:t xml:space="preserve"> </w:t>
      </w:r>
      <w:r w:rsidRPr="009979CB">
        <w:rPr>
          <w:rFonts w:eastAsia="Arial Unicode MS" w:cstheme="minorHAnsi"/>
          <w:color w:val="C00000"/>
          <w:w w:val="102"/>
          <w:szCs w:val="20"/>
        </w:rPr>
        <w:t>horas con treinta minutos</w:t>
      </w:r>
      <w:r>
        <w:rPr>
          <w:rFonts w:eastAsia="Arial Unicode MS" w:cstheme="minorHAnsi"/>
          <w:color w:val="C00000"/>
          <w:w w:val="102"/>
          <w:szCs w:val="20"/>
        </w:rPr>
        <w:t xml:space="preserve"> </w:t>
      </w:r>
      <w:r w:rsidRPr="009979CB">
        <w:rPr>
          <w:rFonts w:eastAsia="Arial Unicode MS" w:cstheme="minorHAnsi"/>
          <w:w w:val="102"/>
          <w:szCs w:val="20"/>
        </w:rPr>
        <w:t>d</w:t>
      </w:r>
      <w:r w:rsidRPr="009979CB">
        <w:rPr>
          <w:rFonts w:eastAsia="Arial Unicode MS" w:cstheme="minorHAnsi"/>
          <w:spacing w:val="-4"/>
          <w:w w:val="102"/>
          <w:szCs w:val="20"/>
        </w:rPr>
        <w:t>e</w:t>
      </w:r>
      <w:r w:rsidRPr="009979CB">
        <w:rPr>
          <w:rFonts w:eastAsia="Arial Unicode MS" w:cstheme="minorHAnsi"/>
          <w:w w:val="102"/>
          <w:szCs w:val="20"/>
        </w:rPr>
        <w:t>l</w:t>
      </w:r>
      <w:r>
        <w:rPr>
          <w:rFonts w:eastAsia="Arial Unicode MS" w:cstheme="minorHAnsi"/>
          <w:w w:val="102"/>
          <w:szCs w:val="20"/>
        </w:rPr>
        <w:t xml:space="preserve"> </w:t>
      </w:r>
      <w:r w:rsidRPr="009979CB">
        <w:rPr>
          <w:rFonts w:eastAsia="Arial Unicode MS" w:cstheme="minorHAnsi"/>
          <w:w w:val="102"/>
          <w:szCs w:val="20"/>
        </w:rPr>
        <w:t>d</w:t>
      </w:r>
      <w:r w:rsidRPr="009979CB">
        <w:rPr>
          <w:rFonts w:eastAsia="Arial Unicode MS" w:cstheme="minorHAnsi"/>
          <w:spacing w:val="1"/>
          <w:w w:val="102"/>
          <w:szCs w:val="20"/>
        </w:rPr>
        <w:t>í</w:t>
      </w:r>
      <w:r w:rsidRPr="009979CB">
        <w:rPr>
          <w:rFonts w:eastAsia="Arial Unicode MS" w:cstheme="minorHAnsi"/>
          <w:w w:val="102"/>
          <w:szCs w:val="20"/>
        </w:rPr>
        <w:t>a</w:t>
      </w:r>
      <w:r>
        <w:rPr>
          <w:rFonts w:eastAsia="Arial Unicode MS" w:cstheme="minorHAnsi"/>
          <w:w w:val="102"/>
          <w:szCs w:val="20"/>
        </w:rPr>
        <w:t xml:space="preserve"> </w:t>
      </w:r>
      <w:r w:rsidRPr="009979CB">
        <w:rPr>
          <w:rFonts w:eastAsia="Arial Unicode MS" w:cstheme="minorHAnsi"/>
          <w:b/>
          <w:color w:val="000099"/>
          <w:w w:val="102"/>
          <w:szCs w:val="20"/>
        </w:rPr>
        <w:t>19</w:t>
      </w:r>
      <w:r>
        <w:rPr>
          <w:rFonts w:eastAsia="Arial Unicode MS" w:cstheme="minorHAnsi"/>
          <w:b/>
          <w:color w:val="000099"/>
          <w:w w:val="102"/>
          <w:szCs w:val="20"/>
        </w:rPr>
        <w:t xml:space="preserve"> </w:t>
      </w:r>
      <w:r w:rsidRPr="009979CB">
        <w:rPr>
          <w:rFonts w:eastAsia="Arial Unicode MS" w:cstheme="minorHAnsi"/>
          <w:b/>
          <w:color w:val="000099"/>
          <w:w w:val="102"/>
          <w:szCs w:val="20"/>
        </w:rPr>
        <w:t>de noviembre</w:t>
      </w:r>
      <w:r>
        <w:rPr>
          <w:rFonts w:eastAsia="Arial Unicode MS" w:cstheme="minorHAnsi"/>
          <w:b/>
          <w:color w:val="000099"/>
          <w:w w:val="102"/>
          <w:szCs w:val="20"/>
        </w:rPr>
        <w:t xml:space="preserve"> </w:t>
      </w:r>
      <w:r w:rsidRPr="009979CB">
        <w:rPr>
          <w:rFonts w:eastAsia="Arial Unicode MS" w:cstheme="minorHAnsi"/>
          <w:b/>
          <w:color w:val="000099"/>
          <w:w w:val="102"/>
          <w:szCs w:val="20"/>
        </w:rPr>
        <w:t>de 2014</w:t>
      </w:r>
      <w:r w:rsidRPr="009979CB">
        <w:rPr>
          <w:rFonts w:eastAsia="Arial Unicode MS" w:cstheme="minorHAnsi"/>
          <w:color w:val="000099"/>
          <w:w w:val="102"/>
          <w:szCs w:val="20"/>
        </w:rPr>
        <w:t xml:space="preserve">, </w:t>
      </w:r>
      <w:r w:rsidRPr="009979CB">
        <w:rPr>
          <w:rFonts w:eastAsia="Arial Unicode MS" w:cstheme="minorHAnsi"/>
          <w:w w:val="102"/>
          <w:szCs w:val="20"/>
        </w:rPr>
        <w:t>el Ministerio de Agricultura y Ganadería luego de haber recibido y admitido la solicitud de información</w:t>
      </w:r>
      <w:r>
        <w:rPr>
          <w:rFonts w:eastAsia="Arial Unicode MS" w:cstheme="minorHAnsi"/>
          <w:w w:val="102"/>
          <w:szCs w:val="20"/>
        </w:rPr>
        <w:t xml:space="preserve"> </w:t>
      </w:r>
      <w:r>
        <w:rPr>
          <w:rFonts w:eastAsia="Arial Unicode MS" w:cstheme="minorHAnsi"/>
          <w:b/>
          <w:color w:val="000099"/>
          <w:w w:val="102"/>
          <w:szCs w:val="20"/>
        </w:rPr>
        <w:t xml:space="preserve">Nº </w:t>
      </w:r>
      <w:r w:rsidRPr="009979CB">
        <w:rPr>
          <w:rFonts w:eastAsia="Arial Unicode MS" w:cstheme="minorHAnsi"/>
          <w:b/>
          <w:color w:val="000099"/>
          <w:w w:val="102"/>
          <w:szCs w:val="20"/>
        </w:rPr>
        <w:t>299</w:t>
      </w:r>
      <w:r>
        <w:rPr>
          <w:rFonts w:eastAsia="Arial Unicode MS" w:cstheme="minorHAnsi"/>
          <w:b/>
          <w:color w:val="000099"/>
          <w:w w:val="102"/>
          <w:szCs w:val="20"/>
        </w:rPr>
        <w:t xml:space="preserve">-2014 </w:t>
      </w:r>
      <w:r w:rsidRPr="009979CB">
        <w:rPr>
          <w:rFonts w:eastAsia="Arial Unicode MS" w:cstheme="minorHAnsi"/>
          <w:w w:val="102"/>
          <w:szCs w:val="20"/>
        </w:rPr>
        <w:t>sobre:</w:t>
      </w:r>
    </w:p>
    <w:p w:rsidR="00F870BE" w:rsidRPr="009979CB" w:rsidRDefault="00F870BE" w:rsidP="00F870B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  <w:color w:val="000099"/>
          <w:w w:val="102"/>
          <w:sz w:val="12"/>
          <w:szCs w:val="20"/>
        </w:rPr>
      </w:pPr>
    </w:p>
    <w:p w:rsidR="00F870BE" w:rsidRPr="009979CB" w:rsidRDefault="00F870BE" w:rsidP="00F870B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color w:val="000099"/>
          <w:w w:val="102"/>
          <w:szCs w:val="20"/>
        </w:rPr>
      </w:pPr>
      <w:r w:rsidRPr="009979CB">
        <w:rPr>
          <w:rFonts w:eastAsia="Arial Unicode MS" w:cstheme="minorHAnsi"/>
          <w:color w:val="000099"/>
          <w:w w:val="102"/>
          <w:szCs w:val="20"/>
        </w:rPr>
        <w:t>Información relacionada a CITES:</w:t>
      </w:r>
    </w:p>
    <w:p w:rsidR="00F870BE" w:rsidRPr="009979CB" w:rsidRDefault="00F870BE" w:rsidP="00F870BE">
      <w:pPr>
        <w:pStyle w:val="Prrafodelista"/>
        <w:widowControl w:val="0"/>
        <w:numPr>
          <w:ilvl w:val="0"/>
          <w:numId w:val="2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color w:val="000099"/>
          <w:w w:val="102"/>
          <w:szCs w:val="20"/>
        </w:rPr>
      </w:pPr>
      <w:r w:rsidRPr="009979CB">
        <w:rPr>
          <w:rFonts w:asciiTheme="minorHAnsi" w:eastAsia="Arial Unicode MS" w:hAnsiTheme="minorHAnsi" w:cstheme="minorHAnsi"/>
          <w:color w:val="000099"/>
          <w:w w:val="102"/>
          <w:szCs w:val="20"/>
        </w:rPr>
        <w:t>Antecedentes históricos a nivel internacional y nacional.</w:t>
      </w:r>
    </w:p>
    <w:p w:rsidR="00F870BE" w:rsidRPr="009979CB" w:rsidRDefault="00F870BE" w:rsidP="00F870BE">
      <w:pPr>
        <w:pStyle w:val="Prrafodelista"/>
        <w:widowControl w:val="0"/>
        <w:numPr>
          <w:ilvl w:val="0"/>
          <w:numId w:val="2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color w:val="000099"/>
          <w:w w:val="102"/>
          <w:szCs w:val="20"/>
        </w:rPr>
      </w:pPr>
      <w:r w:rsidRPr="009979CB">
        <w:rPr>
          <w:rFonts w:asciiTheme="minorHAnsi" w:eastAsia="Arial Unicode MS" w:hAnsiTheme="minorHAnsi" w:cstheme="minorHAnsi"/>
          <w:color w:val="000099"/>
          <w:w w:val="102"/>
          <w:szCs w:val="20"/>
        </w:rPr>
        <w:t>Aplicabilidad en El Salvador, todo su quehacer dentro de la oficina en el Ministerio de Agricultura y Ganadería.</w:t>
      </w:r>
    </w:p>
    <w:p w:rsidR="00F870BE" w:rsidRPr="009979CB" w:rsidRDefault="00F870BE" w:rsidP="00F870BE">
      <w:pPr>
        <w:pStyle w:val="Prrafodelista"/>
        <w:widowControl w:val="0"/>
        <w:numPr>
          <w:ilvl w:val="0"/>
          <w:numId w:val="2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color w:val="000099"/>
          <w:w w:val="102"/>
          <w:szCs w:val="20"/>
        </w:rPr>
      </w:pPr>
      <w:r w:rsidRPr="009979CB">
        <w:rPr>
          <w:rFonts w:asciiTheme="minorHAnsi" w:eastAsia="Arial Unicode MS" w:hAnsiTheme="minorHAnsi" w:cstheme="minorHAnsi"/>
          <w:color w:val="000099"/>
          <w:w w:val="102"/>
          <w:szCs w:val="20"/>
        </w:rPr>
        <w:t>Cuál es la coordinación existente con Fiscalía General de la República, oficina en Santa Ana.</w:t>
      </w:r>
    </w:p>
    <w:p w:rsidR="00F870BE" w:rsidRPr="009979CB" w:rsidRDefault="00F870BE" w:rsidP="00F870BE">
      <w:pPr>
        <w:pStyle w:val="Prrafodelista"/>
        <w:widowControl w:val="0"/>
        <w:numPr>
          <w:ilvl w:val="0"/>
          <w:numId w:val="2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color w:val="000099"/>
          <w:w w:val="102"/>
          <w:szCs w:val="20"/>
        </w:rPr>
      </w:pPr>
      <w:r w:rsidRPr="009979CB">
        <w:rPr>
          <w:rFonts w:asciiTheme="minorHAnsi" w:eastAsia="Arial Unicode MS" w:hAnsiTheme="minorHAnsi" w:cstheme="minorHAnsi"/>
          <w:color w:val="000099"/>
          <w:w w:val="102"/>
          <w:szCs w:val="20"/>
        </w:rPr>
        <w:t>Convención, Manuales y Reglamento de CITES.</w:t>
      </w:r>
    </w:p>
    <w:p w:rsidR="00F870BE" w:rsidRPr="009979CB" w:rsidRDefault="00F870BE" w:rsidP="00F870B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color w:val="000099"/>
          <w:w w:val="102"/>
          <w:sz w:val="12"/>
          <w:szCs w:val="20"/>
          <w:lang w:val="es-SV" w:eastAsia="es-SV"/>
        </w:rPr>
      </w:pPr>
    </w:p>
    <w:p w:rsidR="00F870BE" w:rsidRPr="009979CB" w:rsidRDefault="00F870BE" w:rsidP="00F870B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Cs w:val="20"/>
        </w:rPr>
      </w:pPr>
      <w:r w:rsidRPr="009979CB">
        <w:rPr>
          <w:rFonts w:eastAsia="Arial Unicode MS" w:cstheme="minorHAnsi"/>
          <w:w w:val="102"/>
          <w:szCs w:val="20"/>
        </w:rPr>
        <w:t>Presentada ante la Oficina de Información y Respuesta de esta dependencia por parte de</w:t>
      </w:r>
      <w:r w:rsidRPr="009979CB">
        <w:rPr>
          <w:rFonts w:eastAsia="Arial Unicode MS" w:cstheme="minorHAnsi"/>
          <w:szCs w:val="20"/>
        </w:rPr>
        <w:t>:</w:t>
      </w:r>
      <w:r>
        <w:rPr>
          <w:rFonts w:eastAsia="Arial Unicode MS" w:cstheme="minorHAnsi"/>
          <w:szCs w:val="20"/>
        </w:rPr>
        <w:t xml:space="preserve"> </w:t>
      </w:r>
      <w:r w:rsidRPr="00F870BE">
        <w:rPr>
          <w:rFonts w:eastAsia="Arial Unicode MS" w:cstheme="minorHAnsi"/>
          <w:b/>
          <w:w w:val="102"/>
          <w:szCs w:val="20"/>
          <w:highlight w:val="black"/>
        </w:rPr>
        <w:t>*****************************</w:t>
      </w:r>
      <w:r w:rsidRPr="009979CB">
        <w:rPr>
          <w:rFonts w:eastAsia="Arial Unicode MS" w:cstheme="minorHAnsi"/>
          <w:b/>
          <w:color w:val="000099"/>
          <w:w w:val="102"/>
          <w:szCs w:val="20"/>
        </w:rPr>
        <w:t>,</w:t>
      </w:r>
      <w:r>
        <w:rPr>
          <w:rFonts w:eastAsia="Arial Unicode MS" w:cstheme="minorHAnsi"/>
          <w:b/>
          <w:color w:val="000099"/>
          <w:w w:val="102"/>
          <w:szCs w:val="20"/>
        </w:rPr>
        <w:t xml:space="preserve"> </w:t>
      </w:r>
      <w:r w:rsidRPr="009979CB">
        <w:rPr>
          <w:rFonts w:eastAsia="Arial Unicode MS" w:cstheme="minorHAnsi"/>
          <w:w w:val="102"/>
          <w:szCs w:val="20"/>
        </w:rPr>
        <w:t xml:space="preserve">y considerando que </w:t>
      </w:r>
      <w:r w:rsidRPr="009979CB">
        <w:rPr>
          <w:rFonts w:eastAsia="Arial Unicode MS" w:cstheme="minorHAnsi"/>
          <w:color w:val="C00000"/>
          <w:w w:val="102"/>
          <w:szCs w:val="20"/>
        </w:rPr>
        <w:t>parte de</w:t>
      </w:r>
      <w:r>
        <w:rPr>
          <w:rFonts w:eastAsia="Arial Unicode MS" w:cstheme="minorHAnsi"/>
          <w:color w:val="C00000"/>
          <w:w w:val="102"/>
          <w:szCs w:val="20"/>
        </w:rPr>
        <w:t xml:space="preserve"> </w:t>
      </w:r>
      <w:r w:rsidRPr="009979CB">
        <w:rPr>
          <w:rFonts w:eastAsia="Arial Unicode MS" w:cstheme="minorHAnsi"/>
          <w:w w:val="102"/>
          <w:szCs w:val="20"/>
        </w:rPr>
        <w:t xml:space="preserve">la información solicitada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  <w:r w:rsidRPr="009979CB">
        <w:rPr>
          <w:rFonts w:eastAsia="Arial Unicode MS" w:cstheme="minorHAnsi"/>
          <w:b/>
          <w:color w:val="000099"/>
          <w:w w:val="102"/>
          <w:szCs w:val="20"/>
        </w:rPr>
        <w:t xml:space="preserve">PROPORCIONAR LA INFORMACIÓN PÚBLICA SOLICITADA, </w:t>
      </w:r>
      <w:r w:rsidRPr="009979CB">
        <w:rPr>
          <w:rFonts w:cstheme="minorHAnsi"/>
          <w:w w:val="102"/>
          <w:szCs w:val="20"/>
        </w:rPr>
        <w:t xml:space="preserve">la que se adjunta en anexo: </w:t>
      </w:r>
      <w:r w:rsidRPr="009979CB">
        <w:rPr>
          <w:rFonts w:cstheme="minorHAnsi"/>
          <w:b/>
          <w:i/>
          <w:color w:val="000099"/>
          <w:w w:val="102"/>
          <w:szCs w:val="20"/>
        </w:rPr>
        <w:t>información que responde a los numerales del 1 al 3</w:t>
      </w:r>
      <w:r w:rsidRPr="009979CB">
        <w:rPr>
          <w:rFonts w:cstheme="minorHAnsi"/>
          <w:w w:val="102"/>
          <w:szCs w:val="20"/>
        </w:rPr>
        <w:t>.</w:t>
      </w:r>
    </w:p>
    <w:p w:rsidR="00F870BE" w:rsidRPr="009979CB" w:rsidRDefault="00F870BE" w:rsidP="00F870BE">
      <w:pPr>
        <w:spacing w:after="0"/>
        <w:jc w:val="both"/>
        <w:rPr>
          <w:rFonts w:cstheme="minorHAnsi"/>
          <w:w w:val="102"/>
          <w:sz w:val="12"/>
          <w:szCs w:val="20"/>
        </w:rPr>
      </w:pPr>
    </w:p>
    <w:p w:rsidR="00F870BE" w:rsidRPr="009979CB" w:rsidRDefault="00F870BE" w:rsidP="00F870BE">
      <w:pPr>
        <w:spacing w:after="0"/>
        <w:jc w:val="both"/>
        <w:rPr>
          <w:rFonts w:eastAsia="Arial Unicode MS" w:cstheme="minorHAnsi"/>
          <w:b/>
          <w:color w:val="000099"/>
          <w:w w:val="102"/>
          <w:szCs w:val="20"/>
        </w:rPr>
      </w:pPr>
      <w:r w:rsidRPr="009979CB">
        <w:rPr>
          <w:rFonts w:cstheme="minorHAnsi"/>
          <w:w w:val="102"/>
          <w:szCs w:val="20"/>
        </w:rPr>
        <w:t xml:space="preserve">Sobre </w:t>
      </w:r>
      <w:r w:rsidRPr="009979CB">
        <w:rPr>
          <w:rFonts w:cstheme="minorHAnsi"/>
          <w:b/>
          <w:i/>
          <w:color w:val="000099"/>
          <w:w w:val="102"/>
          <w:szCs w:val="20"/>
        </w:rPr>
        <w:t>lo solicitado descrito en el numeral 4</w:t>
      </w:r>
      <w:r w:rsidRPr="009979CB">
        <w:rPr>
          <w:rFonts w:cstheme="minorHAnsi"/>
          <w:w w:val="102"/>
          <w:szCs w:val="20"/>
        </w:rPr>
        <w:t xml:space="preserve">se analizó el fondo de lo solicitado determinando con base al art. 62 inciso 2º que parte de la misma ya está disponible al público. Por lo tanto resuelve: </w:t>
      </w:r>
      <w:r w:rsidRPr="009979CB">
        <w:rPr>
          <w:rFonts w:eastAsia="Arial Unicode MS" w:cstheme="minorHAnsi"/>
          <w:b/>
          <w:color w:val="000099"/>
          <w:w w:val="102"/>
          <w:szCs w:val="20"/>
        </w:rPr>
        <w:t>ORIENTAR LA UBICACIÓN DE LA INFORMACIÓN SOLICITADA</w:t>
      </w:r>
      <w:r>
        <w:rPr>
          <w:rFonts w:eastAsia="Arial Unicode MS" w:cstheme="minorHAnsi"/>
          <w:b/>
          <w:color w:val="000099"/>
          <w:w w:val="102"/>
          <w:szCs w:val="20"/>
        </w:rPr>
        <w:t>.</w:t>
      </w:r>
    </w:p>
    <w:p w:rsidR="00F870BE" w:rsidRPr="009979CB" w:rsidRDefault="00F870BE" w:rsidP="00F870BE">
      <w:pPr>
        <w:spacing w:after="0" w:line="240" w:lineRule="auto"/>
        <w:jc w:val="both"/>
        <w:rPr>
          <w:rFonts w:cstheme="minorHAnsi"/>
          <w:w w:val="102"/>
          <w:sz w:val="12"/>
          <w:szCs w:val="20"/>
        </w:rPr>
      </w:pPr>
    </w:p>
    <w:p w:rsidR="00F870BE" w:rsidRPr="009979CB" w:rsidRDefault="00F870BE" w:rsidP="00F870BE">
      <w:pPr>
        <w:spacing w:after="0" w:line="240" w:lineRule="auto"/>
        <w:jc w:val="both"/>
        <w:rPr>
          <w:rFonts w:cstheme="minorHAnsi"/>
          <w:w w:val="102"/>
          <w:szCs w:val="20"/>
        </w:rPr>
      </w:pPr>
      <w:r w:rsidRPr="009979CB">
        <w:rPr>
          <w:rFonts w:cstheme="minorHAnsi"/>
          <w:w w:val="102"/>
          <w:szCs w:val="20"/>
        </w:rPr>
        <w:t xml:space="preserve">La cual podrá consultarse, adquirirse o reproducirse en la página </w:t>
      </w:r>
      <w:r w:rsidRPr="009979CB">
        <w:rPr>
          <w:rFonts w:cstheme="minorHAnsi"/>
          <w:b/>
          <w:i/>
          <w:color w:val="000099"/>
          <w:w w:val="102"/>
          <w:szCs w:val="20"/>
        </w:rPr>
        <w:t>Web del MAG, www.mag.gob.sv,</w:t>
      </w:r>
      <w:r w:rsidRPr="009979CB">
        <w:rPr>
          <w:rFonts w:cstheme="minorHAnsi"/>
          <w:w w:val="102"/>
          <w:szCs w:val="20"/>
        </w:rPr>
        <w:t>en e</w:t>
      </w:r>
      <w:r w:rsidRPr="009979CB">
        <w:rPr>
          <w:rFonts w:cstheme="minorHAnsi"/>
          <w:b/>
          <w:color w:val="000099"/>
          <w:w w:val="102"/>
          <w:szCs w:val="20"/>
        </w:rPr>
        <w:t>l sitio Gobierno Abierto</w:t>
      </w:r>
      <w:r w:rsidRPr="009979CB">
        <w:rPr>
          <w:rFonts w:cstheme="minorHAnsi"/>
          <w:w w:val="102"/>
          <w:szCs w:val="20"/>
        </w:rPr>
        <w:t>:</w:t>
      </w:r>
    </w:p>
    <w:p w:rsidR="00F870BE" w:rsidRPr="009979CB" w:rsidRDefault="00F870BE" w:rsidP="00F870BE">
      <w:pPr>
        <w:spacing w:after="0" w:line="240" w:lineRule="auto"/>
        <w:jc w:val="both"/>
        <w:rPr>
          <w:rFonts w:cstheme="minorHAnsi"/>
          <w:w w:val="102"/>
          <w:sz w:val="12"/>
          <w:szCs w:val="20"/>
        </w:rPr>
      </w:pPr>
    </w:p>
    <w:p w:rsidR="00F870BE" w:rsidRPr="009979CB" w:rsidRDefault="00F870BE" w:rsidP="00F870BE">
      <w:pPr>
        <w:pStyle w:val="Prrafodelista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w w:val="102"/>
          <w:szCs w:val="20"/>
        </w:rPr>
      </w:pPr>
      <w:r w:rsidRPr="009979CB">
        <w:rPr>
          <w:rFonts w:asciiTheme="minorHAnsi" w:hAnsiTheme="minorHAnsi" w:cstheme="minorHAnsi"/>
          <w:b/>
          <w:color w:val="000099"/>
          <w:w w:val="102"/>
          <w:szCs w:val="20"/>
        </w:rPr>
        <w:t>Componente Marco Normativo: Ley Principal</w:t>
      </w:r>
      <w:r w:rsidRPr="009979CB">
        <w:rPr>
          <w:rFonts w:asciiTheme="minorHAnsi" w:hAnsiTheme="minorHAnsi" w:cstheme="minorHAnsi"/>
          <w:w w:val="102"/>
          <w:szCs w:val="20"/>
        </w:rPr>
        <w:t>/Convención sobre el Comercio Internacional de Especies Amenazadas de Fauna y Flora Silvestres</w:t>
      </w:r>
      <w:r>
        <w:rPr>
          <w:rFonts w:asciiTheme="minorHAnsi" w:hAnsiTheme="minorHAnsi" w:cstheme="minorHAnsi"/>
          <w:w w:val="102"/>
          <w:szCs w:val="20"/>
        </w:rPr>
        <w:t>;</w:t>
      </w:r>
      <w:r w:rsidRPr="009979CB">
        <w:rPr>
          <w:rFonts w:asciiTheme="minorHAnsi" w:hAnsiTheme="minorHAnsi" w:cstheme="minorHAnsi"/>
          <w:szCs w:val="20"/>
        </w:rPr>
        <w:t xml:space="preserve"> y </w:t>
      </w:r>
      <w:r w:rsidRPr="009979CB">
        <w:rPr>
          <w:rFonts w:asciiTheme="minorHAnsi" w:hAnsiTheme="minorHAnsi" w:cstheme="minorHAnsi"/>
          <w:w w:val="102"/>
          <w:szCs w:val="20"/>
        </w:rPr>
        <w:t>Reglamento Especial para regular el Comercio Internacional de Especies Amenazadas de Fauna y Flora Silvestres.</w:t>
      </w:r>
    </w:p>
    <w:p w:rsidR="005F3FA0" w:rsidRPr="00F870BE" w:rsidRDefault="00F870BE" w:rsidP="00F870BE">
      <w:pPr>
        <w:pStyle w:val="Prrafodelista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w w:val="102"/>
          <w:szCs w:val="20"/>
        </w:rPr>
      </w:pPr>
      <w:r w:rsidRPr="009979CB">
        <w:rPr>
          <w:rFonts w:asciiTheme="minorHAnsi" w:hAnsiTheme="minorHAnsi" w:cstheme="minorHAnsi"/>
          <w:b/>
          <w:color w:val="000099"/>
          <w:w w:val="102"/>
          <w:szCs w:val="20"/>
        </w:rPr>
        <w:t>Componente Marco Normativo: Otros documentos normativos</w:t>
      </w:r>
      <w:r w:rsidRPr="009979CB">
        <w:rPr>
          <w:rFonts w:asciiTheme="minorHAnsi" w:hAnsiTheme="minorHAnsi" w:cstheme="minorHAnsi"/>
          <w:w w:val="102"/>
          <w:szCs w:val="20"/>
        </w:rPr>
        <w:t>/ Listado Oficial de Especies de Vida Silvestre Amenazadas o en Peligro de Extinción;</w:t>
      </w:r>
      <w:r>
        <w:rPr>
          <w:rFonts w:asciiTheme="minorHAnsi" w:hAnsiTheme="minorHAnsi" w:cstheme="minorHAnsi"/>
          <w:w w:val="102"/>
          <w:szCs w:val="20"/>
        </w:rPr>
        <w:t xml:space="preserve"> </w:t>
      </w:r>
      <w:r w:rsidRPr="009979CB">
        <w:rPr>
          <w:rFonts w:asciiTheme="minorHAnsi" w:hAnsiTheme="minorHAnsi" w:cstheme="minorHAnsi"/>
          <w:w w:val="102"/>
          <w:szCs w:val="20"/>
        </w:rPr>
        <w:t>Reglamento para el Establecimiento y Manejo de Zoocriaderos de Especies de Vida Silvestre</w:t>
      </w:r>
      <w:r>
        <w:rPr>
          <w:rFonts w:asciiTheme="minorHAnsi" w:hAnsiTheme="minorHAnsi" w:cstheme="minorHAnsi"/>
          <w:w w:val="102"/>
          <w:szCs w:val="20"/>
        </w:rPr>
        <w:t>.</w:t>
      </w:r>
    </w:p>
    <w:p w:rsidR="008C3605" w:rsidRPr="00287D7A" w:rsidRDefault="008C3605" w:rsidP="00413A5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287D7A" w:rsidRP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sectPr w:rsidR="00695B36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494" w:rsidRDefault="00207494" w:rsidP="00823710">
      <w:pPr>
        <w:spacing w:after="0" w:line="240" w:lineRule="auto"/>
      </w:pPr>
      <w:r>
        <w:separator/>
      </w:r>
    </w:p>
  </w:endnote>
  <w:endnote w:type="continuationSeparator" w:id="1">
    <w:p w:rsidR="00207494" w:rsidRDefault="0020749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494" w:rsidRDefault="00207494" w:rsidP="00823710">
      <w:pPr>
        <w:spacing w:after="0" w:line="240" w:lineRule="auto"/>
      </w:pPr>
      <w:r>
        <w:separator/>
      </w:r>
    </w:p>
  </w:footnote>
  <w:footnote w:type="continuationSeparator" w:id="1">
    <w:p w:rsidR="00207494" w:rsidRDefault="0020749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7"/>
  </w:num>
  <w:num w:numId="5">
    <w:abstractNumId w:val="6"/>
  </w:num>
  <w:num w:numId="6">
    <w:abstractNumId w:val="12"/>
  </w:num>
  <w:num w:numId="7">
    <w:abstractNumId w:val="8"/>
  </w:num>
  <w:num w:numId="8">
    <w:abstractNumId w:val="0"/>
  </w:num>
  <w:num w:numId="9">
    <w:abstractNumId w:val="15"/>
  </w:num>
  <w:num w:numId="10">
    <w:abstractNumId w:val="1"/>
  </w:num>
  <w:num w:numId="11">
    <w:abstractNumId w:val="3"/>
  </w:num>
  <w:num w:numId="12">
    <w:abstractNumId w:val="18"/>
  </w:num>
  <w:num w:numId="13">
    <w:abstractNumId w:val="7"/>
  </w:num>
  <w:num w:numId="14">
    <w:abstractNumId w:val="27"/>
  </w:num>
  <w:num w:numId="15">
    <w:abstractNumId w:val="26"/>
  </w:num>
  <w:num w:numId="16">
    <w:abstractNumId w:val="2"/>
  </w:num>
  <w:num w:numId="17">
    <w:abstractNumId w:val="25"/>
  </w:num>
  <w:num w:numId="18">
    <w:abstractNumId w:val="9"/>
  </w:num>
  <w:num w:numId="19">
    <w:abstractNumId w:val="13"/>
  </w:num>
  <w:num w:numId="20">
    <w:abstractNumId w:val="28"/>
  </w:num>
  <w:num w:numId="21">
    <w:abstractNumId w:val="10"/>
  </w:num>
  <w:num w:numId="22">
    <w:abstractNumId w:val="22"/>
  </w:num>
  <w:num w:numId="23">
    <w:abstractNumId w:val="11"/>
  </w:num>
  <w:num w:numId="24">
    <w:abstractNumId w:val="20"/>
  </w:num>
  <w:num w:numId="25">
    <w:abstractNumId w:val="5"/>
  </w:num>
  <w:num w:numId="26">
    <w:abstractNumId w:val="16"/>
  </w:num>
  <w:num w:numId="27">
    <w:abstractNumId w:val="24"/>
  </w:num>
  <w:num w:numId="28">
    <w:abstractNumId w:val="23"/>
  </w:num>
  <w:num w:numId="29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494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251F3"/>
    <w:rsid w:val="00527430"/>
    <w:rsid w:val="00544197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2017-04-25T16:08:00Z</dcterms:created>
  <dcterms:modified xsi:type="dcterms:W3CDTF">2017-04-25T16:08:00Z</dcterms:modified>
</cp:coreProperties>
</file>