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413A51">
        <w:rPr>
          <w:rFonts w:cstheme="minorHAnsi"/>
          <w:b/>
          <w:color w:val="0000CC"/>
          <w:w w:val="102"/>
          <w:sz w:val="28"/>
          <w:szCs w:val="28"/>
          <w:u w:val="single"/>
        </w:rPr>
        <w:t>9</w:t>
      </w:r>
      <w:r w:rsidR="005F3FA0">
        <w:rPr>
          <w:rFonts w:cstheme="minorHAnsi"/>
          <w:b/>
          <w:color w:val="0000CC"/>
          <w:w w:val="102"/>
          <w:sz w:val="28"/>
          <w:szCs w:val="28"/>
          <w:u w:val="single"/>
        </w:rPr>
        <w:t>6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A62657" w:rsidRDefault="002C7E2F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5F3FA0" w:rsidRPr="00B40EDE" w:rsidRDefault="005F3FA0" w:rsidP="005F3F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20"/>
          <w:szCs w:val="24"/>
        </w:rPr>
      </w:pPr>
      <w:r w:rsidRPr="00B40EDE">
        <w:rPr>
          <w:rFonts w:eastAsia="Arial Unicode MS" w:cstheme="minorHAnsi"/>
          <w:w w:val="102"/>
          <w:sz w:val="20"/>
          <w:szCs w:val="24"/>
        </w:rPr>
        <w:t>Santa Tecla,</w:t>
      </w:r>
      <w:r>
        <w:rPr>
          <w:rFonts w:eastAsia="Arial Unicode MS" w:cstheme="minorHAnsi"/>
          <w:w w:val="102"/>
          <w:sz w:val="20"/>
          <w:szCs w:val="24"/>
        </w:rPr>
        <w:t xml:space="preserve"> </w:t>
      </w:r>
      <w:r w:rsidRPr="00B40EDE">
        <w:rPr>
          <w:rFonts w:eastAsia="Arial Unicode MS" w:cstheme="minorHAnsi"/>
          <w:w w:val="102"/>
          <w:sz w:val="20"/>
          <w:szCs w:val="24"/>
        </w:rPr>
        <w:t>a</w:t>
      </w:r>
      <w:r>
        <w:rPr>
          <w:rFonts w:eastAsia="Arial Unicode MS" w:cstheme="minorHAnsi"/>
          <w:w w:val="102"/>
          <w:sz w:val="20"/>
          <w:szCs w:val="24"/>
        </w:rPr>
        <w:t xml:space="preserve"> </w:t>
      </w:r>
      <w:r w:rsidRPr="00B40EDE">
        <w:rPr>
          <w:rFonts w:eastAsia="Arial Unicode MS" w:cstheme="minorHAnsi"/>
          <w:spacing w:val="1"/>
          <w:w w:val="102"/>
          <w:sz w:val="20"/>
          <w:szCs w:val="24"/>
        </w:rPr>
        <w:t>l</w:t>
      </w:r>
      <w:r w:rsidRPr="00B40EDE">
        <w:rPr>
          <w:rFonts w:eastAsia="Arial Unicode MS" w:cstheme="minorHAnsi"/>
          <w:w w:val="102"/>
          <w:sz w:val="20"/>
          <w:szCs w:val="24"/>
        </w:rPr>
        <w:t xml:space="preserve">as </w:t>
      </w:r>
      <w:r w:rsidRPr="00B40EDE">
        <w:rPr>
          <w:rFonts w:eastAsia="Arial Unicode MS" w:cstheme="minorHAnsi"/>
          <w:color w:val="C00000"/>
          <w:w w:val="102"/>
          <w:sz w:val="20"/>
          <w:szCs w:val="24"/>
        </w:rPr>
        <w:t>catorce</w:t>
      </w:r>
      <w:r>
        <w:rPr>
          <w:rFonts w:eastAsia="Arial Unicode MS" w:cstheme="minorHAnsi"/>
          <w:color w:val="C00000"/>
          <w:w w:val="102"/>
          <w:sz w:val="20"/>
          <w:szCs w:val="24"/>
        </w:rPr>
        <w:t xml:space="preserve"> </w:t>
      </w:r>
      <w:r w:rsidRPr="00B40EDE">
        <w:rPr>
          <w:rFonts w:eastAsia="Arial Unicode MS" w:cstheme="minorHAnsi"/>
          <w:color w:val="C00000"/>
          <w:w w:val="102"/>
          <w:sz w:val="20"/>
          <w:szCs w:val="24"/>
        </w:rPr>
        <w:t>horas con cuarenta y cinco</w:t>
      </w:r>
      <w:r>
        <w:rPr>
          <w:rFonts w:eastAsia="Arial Unicode MS" w:cstheme="minorHAnsi"/>
          <w:color w:val="C00000"/>
          <w:w w:val="102"/>
          <w:sz w:val="20"/>
          <w:szCs w:val="24"/>
        </w:rPr>
        <w:t xml:space="preserve"> </w:t>
      </w:r>
      <w:r w:rsidRPr="00B40EDE">
        <w:rPr>
          <w:rFonts w:eastAsia="Arial Unicode MS" w:cstheme="minorHAnsi"/>
          <w:color w:val="C00000"/>
          <w:w w:val="102"/>
          <w:sz w:val="20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0"/>
          <w:szCs w:val="24"/>
        </w:rPr>
        <w:t xml:space="preserve"> </w:t>
      </w:r>
      <w:r w:rsidRPr="00B40EDE">
        <w:rPr>
          <w:rFonts w:eastAsia="Arial Unicode MS" w:cstheme="minorHAnsi"/>
          <w:w w:val="102"/>
          <w:sz w:val="20"/>
          <w:szCs w:val="24"/>
        </w:rPr>
        <w:t>d</w:t>
      </w:r>
      <w:r w:rsidRPr="00B40EDE">
        <w:rPr>
          <w:rFonts w:eastAsia="Arial Unicode MS" w:cstheme="minorHAnsi"/>
          <w:spacing w:val="-4"/>
          <w:w w:val="102"/>
          <w:sz w:val="20"/>
          <w:szCs w:val="24"/>
        </w:rPr>
        <w:t>e</w:t>
      </w:r>
      <w:r w:rsidRPr="00B40EDE">
        <w:rPr>
          <w:rFonts w:eastAsia="Arial Unicode MS" w:cstheme="minorHAnsi"/>
          <w:w w:val="102"/>
          <w:sz w:val="20"/>
          <w:szCs w:val="24"/>
        </w:rPr>
        <w:t>l</w:t>
      </w:r>
      <w:r>
        <w:rPr>
          <w:rFonts w:eastAsia="Arial Unicode MS" w:cstheme="minorHAnsi"/>
          <w:w w:val="102"/>
          <w:sz w:val="20"/>
          <w:szCs w:val="24"/>
        </w:rPr>
        <w:t xml:space="preserve"> </w:t>
      </w:r>
      <w:r w:rsidRPr="00B40EDE">
        <w:rPr>
          <w:rFonts w:eastAsia="Arial Unicode MS" w:cstheme="minorHAnsi"/>
          <w:w w:val="102"/>
          <w:sz w:val="20"/>
          <w:szCs w:val="24"/>
        </w:rPr>
        <w:t>d</w:t>
      </w:r>
      <w:r w:rsidRPr="00B40EDE">
        <w:rPr>
          <w:rFonts w:eastAsia="Arial Unicode MS" w:cstheme="minorHAnsi"/>
          <w:spacing w:val="1"/>
          <w:w w:val="102"/>
          <w:sz w:val="20"/>
          <w:szCs w:val="24"/>
        </w:rPr>
        <w:t>í</w:t>
      </w:r>
      <w:r w:rsidRPr="00B40EDE">
        <w:rPr>
          <w:rFonts w:eastAsia="Arial Unicode MS" w:cstheme="minorHAnsi"/>
          <w:w w:val="102"/>
          <w:sz w:val="20"/>
          <w:szCs w:val="24"/>
        </w:rPr>
        <w:t>a</w:t>
      </w:r>
      <w:r>
        <w:rPr>
          <w:rFonts w:eastAsia="Arial Unicode MS" w:cstheme="minorHAnsi"/>
          <w:w w:val="102"/>
          <w:sz w:val="20"/>
          <w:szCs w:val="24"/>
        </w:rPr>
        <w:t xml:space="preserve"> </w:t>
      </w:r>
      <w:r w:rsidRPr="00B40EDE">
        <w:rPr>
          <w:rFonts w:eastAsia="Arial Unicode MS" w:cstheme="minorHAnsi"/>
          <w:b/>
          <w:color w:val="000099"/>
          <w:w w:val="102"/>
          <w:sz w:val="20"/>
          <w:szCs w:val="24"/>
        </w:rPr>
        <w:t>1</w:t>
      </w:r>
      <w:r>
        <w:rPr>
          <w:rFonts w:eastAsia="Arial Unicode MS" w:cstheme="minorHAnsi"/>
          <w:b/>
          <w:color w:val="000099"/>
          <w:w w:val="102"/>
          <w:sz w:val="20"/>
          <w:szCs w:val="24"/>
        </w:rPr>
        <w:t xml:space="preserve"> </w:t>
      </w:r>
      <w:r w:rsidRPr="00B40EDE">
        <w:rPr>
          <w:rFonts w:eastAsia="Arial Unicode MS" w:cstheme="minorHAnsi"/>
          <w:b/>
          <w:color w:val="000099"/>
          <w:w w:val="102"/>
          <w:sz w:val="20"/>
          <w:szCs w:val="24"/>
        </w:rPr>
        <w:t>de diciembre</w:t>
      </w:r>
      <w:r>
        <w:rPr>
          <w:rFonts w:eastAsia="Arial Unicode MS" w:cstheme="minorHAnsi"/>
          <w:b/>
          <w:color w:val="000099"/>
          <w:w w:val="102"/>
          <w:sz w:val="20"/>
          <w:szCs w:val="24"/>
        </w:rPr>
        <w:t xml:space="preserve"> </w:t>
      </w:r>
      <w:r w:rsidRPr="00B40EDE">
        <w:rPr>
          <w:rFonts w:eastAsia="Arial Unicode MS" w:cstheme="minorHAnsi"/>
          <w:b/>
          <w:color w:val="000099"/>
          <w:w w:val="102"/>
          <w:sz w:val="20"/>
          <w:szCs w:val="24"/>
        </w:rPr>
        <w:t>de 2014</w:t>
      </w:r>
      <w:r w:rsidRPr="00B40EDE">
        <w:rPr>
          <w:rFonts w:eastAsia="Arial Unicode MS" w:cstheme="minorHAnsi"/>
          <w:color w:val="000099"/>
          <w:w w:val="102"/>
          <w:sz w:val="20"/>
          <w:szCs w:val="24"/>
        </w:rPr>
        <w:t xml:space="preserve">, </w:t>
      </w:r>
      <w:r w:rsidRPr="00B40EDE">
        <w:rPr>
          <w:rFonts w:eastAsia="Arial Unicode MS" w:cstheme="minorHAnsi"/>
          <w:w w:val="102"/>
          <w:sz w:val="20"/>
          <w:szCs w:val="24"/>
        </w:rPr>
        <w:t>el Ministerio de Agricultura y Ganadería luego de haber recibido y admitido la solicitud de información</w:t>
      </w:r>
      <w:r>
        <w:rPr>
          <w:rFonts w:eastAsia="Arial Unicode MS" w:cstheme="minorHAnsi"/>
          <w:w w:val="102"/>
          <w:sz w:val="20"/>
          <w:szCs w:val="24"/>
        </w:rPr>
        <w:t xml:space="preserve"> </w:t>
      </w:r>
      <w:r>
        <w:rPr>
          <w:rFonts w:eastAsia="Arial Unicode MS" w:cstheme="minorHAnsi"/>
          <w:b/>
          <w:color w:val="000099"/>
          <w:w w:val="102"/>
          <w:sz w:val="20"/>
          <w:szCs w:val="24"/>
        </w:rPr>
        <w:t xml:space="preserve">Nº </w:t>
      </w:r>
      <w:r w:rsidRPr="00B40EDE">
        <w:rPr>
          <w:rFonts w:eastAsia="Arial Unicode MS" w:cstheme="minorHAnsi"/>
          <w:b/>
          <w:color w:val="000099"/>
          <w:w w:val="102"/>
          <w:sz w:val="20"/>
          <w:szCs w:val="24"/>
        </w:rPr>
        <w:t>296</w:t>
      </w:r>
      <w:r>
        <w:rPr>
          <w:rFonts w:eastAsia="Arial Unicode MS" w:cstheme="minorHAnsi"/>
          <w:b/>
          <w:color w:val="000099"/>
          <w:w w:val="102"/>
          <w:sz w:val="20"/>
          <w:szCs w:val="24"/>
        </w:rPr>
        <w:t xml:space="preserve"> </w:t>
      </w:r>
      <w:r w:rsidRPr="00B40EDE">
        <w:rPr>
          <w:rFonts w:eastAsia="Arial Unicode MS" w:cstheme="minorHAnsi"/>
          <w:w w:val="102"/>
          <w:sz w:val="20"/>
          <w:szCs w:val="24"/>
        </w:rPr>
        <w:t>sobre:</w:t>
      </w:r>
    </w:p>
    <w:p w:rsidR="005F3FA0" w:rsidRPr="00B40EDE" w:rsidRDefault="005F3FA0" w:rsidP="005F3F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14"/>
          <w:szCs w:val="24"/>
        </w:rPr>
      </w:pPr>
    </w:p>
    <w:p w:rsidR="005F3FA0" w:rsidRPr="00B40EDE" w:rsidRDefault="005F3FA0" w:rsidP="005F3F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color w:val="000099"/>
          <w:w w:val="102"/>
          <w:sz w:val="20"/>
          <w:szCs w:val="24"/>
        </w:rPr>
      </w:pPr>
      <w:r w:rsidRPr="00B40EDE">
        <w:rPr>
          <w:rFonts w:eastAsia="Arial Unicode MS" w:cstheme="minorHAnsi"/>
          <w:b/>
          <w:color w:val="000099"/>
          <w:w w:val="102"/>
          <w:sz w:val="20"/>
          <w:szCs w:val="24"/>
        </w:rPr>
        <w:t>Archivo en excel con información relevante de la Boleta para captación de datos del desembarque diario por embarcación en la pesca artesanal desde 2009-2014 (o de existencias digitales) de las oficinas zonales de Acajutla, La Libertad, Puerto El Triunfo y La Unión; la información que se requiere de las boletas es: departamento, lugar de desembarque, oficina zonal, zona, procedencia, fecha, arribadas, muestreadas, especies, peso en libras y precio en libras.</w:t>
      </w:r>
    </w:p>
    <w:p w:rsidR="005F3FA0" w:rsidRPr="00B40EDE" w:rsidRDefault="005F3FA0" w:rsidP="005F3F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14"/>
          <w:szCs w:val="24"/>
        </w:rPr>
      </w:pPr>
    </w:p>
    <w:p w:rsidR="005F3FA0" w:rsidRPr="00B40EDE" w:rsidRDefault="005F3FA0" w:rsidP="005F3F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20"/>
          <w:szCs w:val="24"/>
        </w:rPr>
      </w:pPr>
      <w:r w:rsidRPr="00B40EDE">
        <w:rPr>
          <w:rFonts w:eastAsia="Arial Unicode MS" w:cstheme="minorHAnsi"/>
          <w:w w:val="102"/>
          <w:sz w:val="20"/>
          <w:szCs w:val="24"/>
        </w:rPr>
        <w:t>Presentada ante la Oficina de Información y Respuesta de esta dependencia por parte de</w:t>
      </w:r>
      <w:r w:rsidRPr="00B40EDE">
        <w:rPr>
          <w:rFonts w:eastAsia="Arial Unicode MS" w:cstheme="minorHAnsi"/>
          <w:b/>
          <w:color w:val="000099"/>
          <w:sz w:val="20"/>
          <w:szCs w:val="24"/>
        </w:rPr>
        <w:t>:</w:t>
      </w:r>
      <w:r>
        <w:rPr>
          <w:rFonts w:eastAsia="Arial Unicode MS" w:cstheme="minorHAnsi"/>
          <w:b/>
          <w:color w:val="000099"/>
          <w:sz w:val="20"/>
          <w:szCs w:val="24"/>
        </w:rPr>
        <w:t xml:space="preserve"> </w:t>
      </w:r>
      <w:r w:rsidRPr="005F3FA0">
        <w:rPr>
          <w:rFonts w:cstheme="minorHAnsi"/>
          <w:b/>
          <w:sz w:val="20"/>
          <w:szCs w:val="24"/>
          <w:highlight w:val="black"/>
        </w:rPr>
        <w:t>********************************</w:t>
      </w:r>
      <w:r w:rsidRPr="00B40EDE">
        <w:rPr>
          <w:rFonts w:cstheme="minorHAnsi"/>
          <w:b/>
          <w:color w:val="000099"/>
          <w:sz w:val="20"/>
          <w:szCs w:val="24"/>
        </w:rPr>
        <w:t xml:space="preserve">, </w:t>
      </w:r>
      <w:r w:rsidRPr="00B40EDE">
        <w:rPr>
          <w:rFonts w:eastAsia="Arial Unicode MS" w:cstheme="minorHAnsi"/>
          <w:w w:val="102"/>
          <w:sz w:val="20"/>
          <w:szCs w:val="24"/>
        </w:rPr>
        <w:t xml:space="preserve">y considerando que </w:t>
      </w:r>
      <w:r w:rsidRPr="00B40EDE">
        <w:rPr>
          <w:rFonts w:eastAsia="Arial Unicode MS" w:cstheme="minorHAnsi"/>
          <w:color w:val="C00000"/>
          <w:w w:val="102"/>
          <w:sz w:val="20"/>
          <w:szCs w:val="24"/>
        </w:rPr>
        <w:t>parte de</w:t>
      </w:r>
      <w:r>
        <w:rPr>
          <w:rFonts w:eastAsia="Arial Unicode MS" w:cstheme="minorHAnsi"/>
          <w:color w:val="C00000"/>
          <w:w w:val="102"/>
          <w:sz w:val="20"/>
          <w:szCs w:val="24"/>
        </w:rPr>
        <w:t xml:space="preserve"> </w:t>
      </w:r>
      <w:r w:rsidRPr="00B40EDE">
        <w:rPr>
          <w:rFonts w:eastAsia="Arial Unicode MS" w:cstheme="minorHAnsi"/>
          <w:w w:val="102"/>
          <w:sz w:val="20"/>
          <w:szCs w:val="24"/>
        </w:rPr>
        <w:t xml:space="preserve">la información solicitada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5F3FA0" w:rsidRPr="00B40EDE" w:rsidRDefault="005F3FA0" w:rsidP="005F3F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14"/>
          <w:szCs w:val="24"/>
        </w:rPr>
      </w:pPr>
    </w:p>
    <w:p w:rsidR="005F3FA0" w:rsidRPr="00B40EDE" w:rsidRDefault="005F3FA0" w:rsidP="005F3F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w w:val="102"/>
          <w:szCs w:val="24"/>
        </w:rPr>
      </w:pPr>
      <w:r w:rsidRPr="00B40EDE">
        <w:rPr>
          <w:rFonts w:eastAsia="Arial Unicode MS" w:cstheme="minorHAnsi"/>
          <w:b/>
          <w:color w:val="000099"/>
          <w:w w:val="102"/>
          <w:szCs w:val="24"/>
        </w:rPr>
        <w:t>PROPORCIONAR LA INFORMACIÓN PÚBLICA SOLICITADA</w:t>
      </w:r>
    </w:p>
    <w:p w:rsidR="005F3FA0" w:rsidRPr="00B40EDE" w:rsidRDefault="005F3FA0" w:rsidP="005F3F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14"/>
          <w:szCs w:val="24"/>
        </w:rPr>
      </w:pPr>
    </w:p>
    <w:p w:rsidR="005F3FA0" w:rsidRPr="00B40EDE" w:rsidRDefault="005F3FA0" w:rsidP="005F3F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i/>
          <w:color w:val="000099"/>
          <w:w w:val="102"/>
          <w:sz w:val="20"/>
          <w:szCs w:val="24"/>
        </w:rPr>
      </w:pPr>
      <w:r w:rsidRPr="00B40EDE">
        <w:rPr>
          <w:rFonts w:cstheme="minorHAnsi"/>
          <w:w w:val="102"/>
          <w:sz w:val="20"/>
          <w:szCs w:val="24"/>
        </w:rPr>
        <w:t>La que se detalla en anexo sobre</w:t>
      </w:r>
      <w:r>
        <w:rPr>
          <w:rFonts w:cstheme="minorHAnsi"/>
          <w:w w:val="102"/>
          <w:sz w:val="20"/>
          <w:szCs w:val="24"/>
        </w:rPr>
        <w:t xml:space="preserve"> </w:t>
      </w:r>
      <w:r w:rsidRPr="00B40EDE">
        <w:rPr>
          <w:rFonts w:cstheme="minorHAnsi"/>
          <w:i/>
          <w:color w:val="000099"/>
          <w:w w:val="102"/>
          <w:sz w:val="20"/>
          <w:szCs w:val="24"/>
        </w:rPr>
        <w:t>información estadística contenida en anuarios de los años 2001, 2002, 2003, 2004, 2005, 2006, 2007 y de la Delegación de Acajutla correspondiente al año 20</w:t>
      </w:r>
      <w:r>
        <w:rPr>
          <w:rFonts w:cstheme="minorHAnsi"/>
          <w:i/>
          <w:color w:val="000099"/>
          <w:w w:val="102"/>
          <w:sz w:val="20"/>
          <w:szCs w:val="24"/>
        </w:rPr>
        <w:t>1</w:t>
      </w:r>
      <w:r w:rsidRPr="00B40EDE">
        <w:rPr>
          <w:rFonts w:cstheme="minorHAnsi"/>
          <w:i/>
          <w:color w:val="000099"/>
          <w:w w:val="102"/>
          <w:sz w:val="20"/>
          <w:szCs w:val="24"/>
        </w:rPr>
        <w:t>1.</w:t>
      </w:r>
    </w:p>
    <w:p w:rsidR="005F3FA0" w:rsidRPr="00B40EDE" w:rsidRDefault="005F3FA0" w:rsidP="005F3F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i/>
          <w:color w:val="000099"/>
          <w:w w:val="102"/>
          <w:sz w:val="20"/>
          <w:szCs w:val="24"/>
        </w:rPr>
      </w:pPr>
    </w:p>
    <w:p w:rsidR="005F3FA0" w:rsidRPr="00B40EDE" w:rsidRDefault="005F3FA0" w:rsidP="005F3F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0"/>
          <w:szCs w:val="24"/>
        </w:rPr>
      </w:pPr>
      <w:r w:rsidRPr="00B40EDE">
        <w:rPr>
          <w:rFonts w:cstheme="minorHAnsi"/>
          <w:w w:val="102"/>
          <w:sz w:val="20"/>
          <w:szCs w:val="24"/>
        </w:rPr>
        <w:t xml:space="preserve">La información solicitada sobre </w:t>
      </w:r>
      <w:r w:rsidRPr="00B40EDE">
        <w:rPr>
          <w:rFonts w:cstheme="minorHAnsi"/>
          <w:i/>
          <w:color w:val="000099"/>
          <w:w w:val="102"/>
          <w:sz w:val="20"/>
          <w:szCs w:val="24"/>
        </w:rPr>
        <w:t>los años 2008, 2009, 2010, 2011 (exceptuando la delegación de Acajutla) 2012, 2013 y 2014</w:t>
      </w:r>
      <w:r w:rsidRPr="00B40EDE">
        <w:rPr>
          <w:rFonts w:cstheme="minorHAnsi"/>
          <w:w w:val="102"/>
          <w:sz w:val="20"/>
          <w:szCs w:val="24"/>
        </w:rPr>
        <w:t xml:space="preserve">se estudió el fondo de lo solicitado y realizado una búsqueda de la información en el área respectiva siendo imposible localizarla en nuestros registros, por no contar con la misma </w:t>
      </w:r>
      <w:r w:rsidRPr="00B40EDE">
        <w:rPr>
          <w:rFonts w:cstheme="minorHAnsi"/>
          <w:color w:val="C00000"/>
          <w:w w:val="102"/>
          <w:sz w:val="20"/>
          <w:szCs w:val="24"/>
        </w:rPr>
        <w:t>porque no se procesa la información requerida.</w:t>
      </w:r>
      <w:r>
        <w:rPr>
          <w:rFonts w:cstheme="minorHAnsi"/>
          <w:color w:val="C00000"/>
          <w:w w:val="102"/>
          <w:sz w:val="20"/>
          <w:szCs w:val="24"/>
        </w:rPr>
        <w:t xml:space="preserve"> </w:t>
      </w:r>
      <w:r w:rsidRPr="00B40EDE">
        <w:rPr>
          <w:rFonts w:cstheme="minorHAnsi"/>
          <w:w w:val="102"/>
          <w:sz w:val="20"/>
          <w:szCs w:val="24"/>
        </w:rPr>
        <w:t xml:space="preserve">Por tanto y considerando que la Ley de Acceso a la Información Pública dispone en el art. 73 que nos encontramos ante un caso de información </w:t>
      </w:r>
      <w:r w:rsidRPr="00B40EDE">
        <w:rPr>
          <w:rFonts w:cstheme="minorHAnsi"/>
          <w:b/>
          <w:color w:val="000099"/>
          <w:w w:val="102"/>
          <w:sz w:val="20"/>
          <w:szCs w:val="24"/>
        </w:rPr>
        <w:t>INEXISTENTE</w:t>
      </w:r>
      <w:r w:rsidRPr="00B40EDE">
        <w:rPr>
          <w:rFonts w:cstheme="minorHAnsi"/>
          <w:w w:val="102"/>
          <w:sz w:val="20"/>
          <w:szCs w:val="24"/>
        </w:rPr>
        <w:t>, lo que  impide  brindar lo  requerido  por  el  peticionario, esta dependencia resuelve:</w:t>
      </w:r>
    </w:p>
    <w:p w:rsidR="005F3FA0" w:rsidRPr="00B40EDE" w:rsidRDefault="005F3FA0" w:rsidP="005F3F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4"/>
          <w:szCs w:val="24"/>
        </w:rPr>
      </w:pPr>
    </w:p>
    <w:p w:rsidR="005F3FA0" w:rsidRPr="00B40EDE" w:rsidRDefault="005F3FA0" w:rsidP="005F3F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w w:val="102"/>
          <w:szCs w:val="24"/>
        </w:rPr>
      </w:pPr>
      <w:r w:rsidRPr="00B40EDE">
        <w:rPr>
          <w:rFonts w:eastAsia="Arial Unicode MS" w:cstheme="minorHAnsi"/>
          <w:b/>
          <w:color w:val="000099"/>
          <w:w w:val="102"/>
          <w:szCs w:val="24"/>
        </w:rPr>
        <w:t>NEGAR EL ACCESO A LA INFORMACIÓN SOLICITADA POR INEXISTENCIA</w:t>
      </w:r>
    </w:p>
    <w:p w:rsidR="005F3FA0" w:rsidRPr="00205791" w:rsidRDefault="005F3FA0" w:rsidP="005F3FA0">
      <w:pPr>
        <w:spacing w:after="0" w:line="240" w:lineRule="auto"/>
        <w:jc w:val="both"/>
        <w:rPr>
          <w:rFonts w:cstheme="minorHAnsi"/>
          <w:w w:val="102"/>
          <w:szCs w:val="24"/>
        </w:rPr>
      </w:pPr>
    </w:p>
    <w:p w:rsidR="005F3FA0" w:rsidRPr="00205791" w:rsidRDefault="005F3FA0" w:rsidP="005F3FA0">
      <w:pPr>
        <w:spacing w:after="0" w:line="240" w:lineRule="auto"/>
        <w:jc w:val="both"/>
        <w:rPr>
          <w:rFonts w:ascii="Arial Narrow" w:hAnsi="Arial Narrow" w:cstheme="minorHAnsi"/>
          <w:w w:val="102"/>
          <w:szCs w:val="24"/>
        </w:rPr>
      </w:pPr>
    </w:p>
    <w:p w:rsidR="005F3FA0" w:rsidRPr="00287D7A" w:rsidRDefault="005F3FA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8C3605" w:rsidRPr="00287D7A" w:rsidRDefault="008C3605" w:rsidP="00413A5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287D7A" w:rsidRP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sectPr w:rsidR="00695B36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471" w:rsidRDefault="00156471" w:rsidP="00823710">
      <w:pPr>
        <w:spacing w:after="0" w:line="240" w:lineRule="auto"/>
      </w:pPr>
      <w:r>
        <w:separator/>
      </w:r>
    </w:p>
  </w:endnote>
  <w:endnote w:type="continuationSeparator" w:id="1">
    <w:p w:rsidR="00156471" w:rsidRDefault="0015647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471" w:rsidRDefault="00156471" w:rsidP="00823710">
      <w:pPr>
        <w:spacing w:after="0" w:line="240" w:lineRule="auto"/>
      </w:pPr>
      <w:r>
        <w:separator/>
      </w:r>
    </w:p>
  </w:footnote>
  <w:footnote w:type="continuationSeparator" w:id="1">
    <w:p w:rsidR="00156471" w:rsidRDefault="0015647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7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15"/>
  </w:num>
  <w:num w:numId="10">
    <w:abstractNumId w:val="1"/>
  </w:num>
  <w:num w:numId="11">
    <w:abstractNumId w:val="3"/>
  </w:num>
  <w:num w:numId="12">
    <w:abstractNumId w:val="18"/>
  </w:num>
  <w:num w:numId="13">
    <w:abstractNumId w:val="7"/>
  </w:num>
  <w:num w:numId="14">
    <w:abstractNumId w:val="25"/>
  </w:num>
  <w:num w:numId="15">
    <w:abstractNumId w:val="24"/>
  </w:num>
  <w:num w:numId="16">
    <w:abstractNumId w:val="2"/>
  </w:num>
  <w:num w:numId="17">
    <w:abstractNumId w:val="23"/>
  </w:num>
  <w:num w:numId="18">
    <w:abstractNumId w:val="9"/>
  </w:num>
  <w:num w:numId="19">
    <w:abstractNumId w:val="13"/>
  </w:num>
  <w:num w:numId="20">
    <w:abstractNumId w:val="26"/>
  </w:num>
  <w:num w:numId="21">
    <w:abstractNumId w:val="10"/>
  </w:num>
  <w:num w:numId="22">
    <w:abstractNumId w:val="21"/>
  </w:num>
  <w:num w:numId="23">
    <w:abstractNumId w:val="11"/>
  </w:num>
  <w:num w:numId="24">
    <w:abstractNumId w:val="20"/>
  </w:num>
  <w:num w:numId="25">
    <w:abstractNumId w:val="5"/>
  </w:num>
  <w:num w:numId="26">
    <w:abstractNumId w:val="16"/>
  </w:num>
  <w:num w:numId="27">
    <w:abstractNumId w:val="2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6471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251F3"/>
    <w:rsid w:val="00527430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2017-04-25T16:00:00Z</dcterms:created>
  <dcterms:modified xsi:type="dcterms:W3CDTF">2017-04-25T16:00:00Z</dcterms:modified>
</cp:coreProperties>
</file>