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="00C91AAD">
        <w:rPr>
          <w:rFonts w:cstheme="minorHAnsi"/>
          <w:b/>
          <w:color w:val="0000CC"/>
          <w:w w:val="102"/>
          <w:sz w:val="28"/>
          <w:szCs w:val="28"/>
          <w:u w:val="single"/>
        </w:rPr>
        <w:t>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</w:rPr>
      </w:pPr>
      <w:r w:rsidRPr="00695B36">
        <w:rPr>
          <w:rFonts w:eastAsia="Arial Unicode MS" w:cs="Arial Unicode MS"/>
          <w:w w:val="102"/>
          <w:sz w:val="24"/>
        </w:rPr>
        <w:t xml:space="preserve">Santa Tecla, a </w:t>
      </w:r>
      <w:r w:rsidRPr="00695B36">
        <w:rPr>
          <w:rFonts w:eastAsia="Arial Unicode MS" w:cs="Arial Unicode MS"/>
          <w:spacing w:val="1"/>
          <w:w w:val="102"/>
          <w:sz w:val="24"/>
        </w:rPr>
        <w:t>l</w:t>
      </w:r>
      <w:r w:rsidRPr="00695B36">
        <w:rPr>
          <w:rFonts w:eastAsia="Arial Unicode MS" w:cs="Arial Unicode MS"/>
          <w:w w:val="102"/>
          <w:sz w:val="24"/>
        </w:rPr>
        <w:t xml:space="preserve">as </w:t>
      </w:r>
      <w:r w:rsidRPr="00695B36">
        <w:rPr>
          <w:rFonts w:eastAsia="Arial Unicode MS" w:cs="Arial Unicode MS"/>
          <w:color w:val="C00000"/>
          <w:w w:val="102"/>
          <w:sz w:val="24"/>
        </w:rPr>
        <w:t>quince horas con veinte minutos</w:t>
      </w:r>
      <w:r w:rsidRPr="00695B36">
        <w:rPr>
          <w:rFonts w:eastAsia="Arial Unicode MS" w:cs="Arial Unicode MS"/>
          <w:w w:val="102"/>
          <w:sz w:val="24"/>
        </w:rPr>
        <w:t>d</w:t>
      </w:r>
      <w:r w:rsidRPr="00695B36">
        <w:rPr>
          <w:rFonts w:eastAsia="Arial Unicode MS" w:cs="Arial Unicode MS"/>
          <w:spacing w:val="-4"/>
          <w:w w:val="102"/>
          <w:sz w:val="24"/>
        </w:rPr>
        <w:t>e</w:t>
      </w:r>
      <w:r w:rsidRPr="00695B36">
        <w:rPr>
          <w:rFonts w:eastAsia="Arial Unicode MS" w:cs="Arial Unicode MS"/>
          <w:w w:val="102"/>
          <w:sz w:val="24"/>
        </w:rPr>
        <w:t>ld</w:t>
      </w:r>
      <w:r w:rsidRPr="00695B36">
        <w:rPr>
          <w:rFonts w:eastAsia="Arial Unicode MS" w:cs="Arial Unicode MS"/>
          <w:spacing w:val="1"/>
          <w:w w:val="102"/>
          <w:sz w:val="24"/>
        </w:rPr>
        <w:t>í</w:t>
      </w:r>
      <w:r w:rsidRPr="00695B36">
        <w:rPr>
          <w:rFonts w:eastAsia="Arial Unicode MS" w:cs="Arial Unicode MS"/>
          <w:w w:val="102"/>
          <w:sz w:val="24"/>
        </w:rPr>
        <w:t>a</w:t>
      </w:r>
      <w:r w:rsidRPr="00695B36">
        <w:rPr>
          <w:rFonts w:eastAsia="Arial Unicode MS" w:cs="Arial Unicode MS"/>
          <w:b/>
          <w:color w:val="000099"/>
          <w:w w:val="102"/>
          <w:sz w:val="24"/>
        </w:rPr>
        <w:t>24de noviembre de 2014</w:t>
      </w:r>
      <w:r w:rsidRPr="00695B36">
        <w:rPr>
          <w:rFonts w:eastAsia="Arial Unicode MS" w:cs="Arial Unicode MS"/>
          <w:color w:val="000099"/>
          <w:w w:val="102"/>
          <w:sz w:val="24"/>
        </w:rPr>
        <w:t xml:space="preserve">, </w:t>
      </w:r>
      <w:r w:rsidRPr="00695B36">
        <w:rPr>
          <w:rFonts w:eastAsia="Arial Unicode MS" w:cs="Arial Unicode MS"/>
          <w:w w:val="102"/>
          <w:sz w:val="24"/>
        </w:rPr>
        <w:t xml:space="preserve">el Ministerio de Agricultura y Ganadería luego de haber recibido y admitido la solicitud de información </w:t>
      </w:r>
      <w:r w:rsidRPr="00695B36">
        <w:rPr>
          <w:rFonts w:eastAsia="Arial Unicode MS" w:cs="Arial Unicode MS"/>
          <w:b/>
          <w:color w:val="000099"/>
          <w:w w:val="102"/>
          <w:sz w:val="24"/>
        </w:rPr>
        <w:t xml:space="preserve">Nº 295-2014 </w:t>
      </w:r>
      <w:r w:rsidRPr="00695B36">
        <w:rPr>
          <w:rFonts w:eastAsia="Arial Unicode MS" w:cs="Arial Unicode MS"/>
          <w:w w:val="102"/>
          <w:sz w:val="24"/>
        </w:rPr>
        <w:t>sobre: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color w:val="000099"/>
          <w:w w:val="102"/>
          <w:sz w:val="24"/>
        </w:rPr>
        <w:t>Listado de proveedores a los que se les compró la semilla de maíz y frijol  para 2011 y 2012 (nombres de los productores, Nº de quintales comprados a c/u, precio de compra.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Bases de competencia o términos de referencia para ofertar para el año 2011 y 2012, para maíz y frijol). 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Cuadro comparativo donde se muestran los precios a los que oferta cada proveedor, y con base a cual se determinó que los precios de los proveedores nacionales son mejores que las ofertas presentada por los importadores para los años 2011, 2012, 2013 y 2014. 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color w:val="000099"/>
          <w:w w:val="102"/>
          <w:sz w:val="24"/>
        </w:rPr>
        <w:t>Anuarios de estadísticas agropecuarias 2007-2008 y 2008-2009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Anuario Estadístico Agropecuario del año 2013-2014. 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color w:val="000099"/>
          <w:w w:val="102"/>
          <w:sz w:val="24"/>
        </w:rPr>
        <w:t>Si los precios de granos básicos incluye el valor o precio a transportistas y consumidores de granos básicos.</w:t>
      </w: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</w:rPr>
      </w:pP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</w:rPr>
      </w:pPr>
      <w:r w:rsidRPr="00695B36">
        <w:rPr>
          <w:rFonts w:eastAsia="Arial Unicode MS" w:cs="Arial Unicode MS"/>
          <w:w w:val="102"/>
          <w:sz w:val="24"/>
        </w:rPr>
        <w:t>Presentada ante la Oficina de Información y Respuesta de esta dependencia por parte de</w:t>
      </w:r>
      <w:r w:rsidRPr="00695B36">
        <w:rPr>
          <w:rFonts w:eastAsia="Arial Unicode MS" w:cs="Arial Unicode MS"/>
          <w:b/>
          <w:color w:val="000099"/>
          <w:sz w:val="24"/>
        </w:rPr>
        <w:t xml:space="preserve">: </w:t>
      </w:r>
      <w:r w:rsidR="00695B36" w:rsidRPr="00695B36">
        <w:rPr>
          <w:b/>
          <w:sz w:val="24"/>
          <w:highlight w:val="black"/>
        </w:rPr>
        <w:t>*************************</w:t>
      </w:r>
      <w:r w:rsidRPr="00695B36">
        <w:rPr>
          <w:rFonts w:eastAsia="Arial Unicode MS" w:cs="Arial Unicode MS"/>
          <w:b/>
          <w:color w:val="000099"/>
          <w:w w:val="102"/>
          <w:sz w:val="24"/>
        </w:rPr>
        <w:t xml:space="preserve">, </w:t>
      </w:r>
      <w:r w:rsidRPr="00695B36">
        <w:rPr>
          <w:rFonts w:eastAsia="Arial Unicode MS" w:cs="Arial Unicode MS"/>
          <w:w w:val="102"/>
          <w:sz w:val="24"/>
        </w:rPr>
        <w:t>al respecto sobre la información sobre:</w:t>
      </w: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14"/>
        </w:rPr>
      </w:pPr>
    </w:p>
    <w:p w:rsidR="00C91AAD" w:rsidRPr="00695B36" w:rsidRDefault="00C91AAD" w:rsidP="00C91AAD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Cantidad de quintales de semilla de maíz y frijol comprados para su entrega en el año 2011- 2012,datos de precios, cantidad de compra y términos de compra</w:t>
      </w:r>
      <w:r w:rsidRPr="00695B36">
        <w:rPr>
          <w:rFonts w:asciiTheme="minorHAnsi" w:eastAsia="Arial Unicode MS" w:hAnsiTheme="minorHAnsi" w:cs="Arial Unicode MS"/>
          <w:w w:val="102"/>
          <w:sz w:val="24"/>
        </w:rPr>
        <w:t xml:space="preserve">, se analizó el fondo de lo solicitado y realizado una búsqueda de la información en el área respectiva siendo imposible localizarla en nuestros registros </w:t>
      </w:r>
      <w:r w:rsidRPr="00695B36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porque</w:t>
      </w:r>
      <w:r w:rsidR="00695B36" w:rsidRPr="00695B36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 xml:space="preserve"> </w:t>
      </w:r>
      <w:r w:rsidRPr="00695B36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dicha adquisición fue realizada por el Instituto Interamericano de Cooperación para la Agricultura (IICA) y no por este ministerio.</w:t>
      </w:r>
    </w:p>
    <w:p w:rsidR="00C91AAD" w:rsidRPr="00695B36" w:rsidRDefault="00C91AAD" w:rsidP="00C91AAD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</w:pPr>
      <w:r w:rsidRPr="00695B36"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  <w:t>Anuario Agropecuario 2013-2014, la información aún se encuentra en revisión y cuando el mismo se socialice se hará público a través de página web del MAG. Cabe que para la documentación de precios de granos básicos, puede consultarse las retrospectivas publicadas en:</w:t>
      </w:r>
      <w:hyperlink r:id="rId8" w:history="1">
        <w:r w:rsidRPr="00695B36">
          <w:rPr>
            <w:rStyle w:val="Hipervnculo"/>
            <w:rFonts w:asciiTheme="minorHAnsi" w:eastAsia="Arial Unicode MS" w:hAnsiTheme="minorHAnsi" w:cs="Arial Unicode MS"/>
            <w:i/>
            <w:w w:val="102"/>
            <w:sz w:val="24"/>
          </w:rPr>
          <w:t>http://www.mag.gob.sv/index.php?option=com_phocadownload&amp;view=category&amp;id=22&amp;Itemid=233</w:t>
        </w:r>
      </w:hyperlink>
    </w:p>
    <w:p w:rsidR="00C91AAD" w:rsidRPr="00695B36" w:rsidRDefault="00C91AAD" w:rsidP="00C91AAD">
      <w:pPr>
        <w:pStyle w:val="Prrafodelista"/>
        <w:ind w:left="360"/>
        <w:rPr>
          <w:rStyle w:val="nfasis"/>
          <w:rFonts w:asciiTheme="minorHAnsi" w:eastAsia="Arial Unicode MS" w:hAnsiTheme="minorHAnsi"/>
          <w:i w:val="0"/>
        </w:rPr>
      </w:pPr>
      <w:r w:rsidRPr="00695B36">
        <w:rPr>
          <w:rStyle w:val="nfasis"/>
          <w:rFonts w:asciiTheme="minorHAnsi" w:eastAsia="Arial Unicode MS" w:hAnsiTheme="minorHAnsi"/>
          <w:i w:val="0"/>
        </w:rPr>
        <w:lastRenderedPageBreak/>
        <w:t>Los mencionados datos son investigados a nivel mayorista en las principales cabeceras departamentales y el precio al consumidor en el Mercado Central de San Salvador.</w:t>
      </w:r>
    </w:p>
    <w:p w:rsidR="00C91AAD" w:rsidRPr="00695B36" w:rsidRDefault="00C91AAD" w:rsidP="00C91AA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eastAsia="Arial Unicode MS" w:hAnsiTheme="minorHAnsi" w:cs="Arial Unicode MS"/>
          <w:i/>
          <w:color w:val="000099"/>
          <w:w w:val="102"/>
          <w:sz w:val="24"/>
        </w:rPr>
      </w:pP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</w:rPr>
      </w:pPr>
      <w:r w:rsidRPr="00695B36">
        <w:rPr>
          <w:rFonts w:eastAsia="Arial Unicode MS" w:cs="Arial Unicode MS"/>
          <w:w w:val="102"/>
          <w:sz w:val="24"/>
        </w:rPr>
        <w:t xml:space="preserve">Y considerando que la Ley de Acceso a la Información Pública dispone en el art. 73 que nos encontramos ante un caso de información </w:t>
      </w:r>
      <w:r w:rsidRPr="00695B36">
        <w:rPr>
          <w:rFonts w:eastAsia="Arial Unicode MS" w:cs="Arial Unicode MS"/>
          <w:b/>
          <w:color w:val="000099"/>
          <w:w w:val="102"/>
          <w:sz w:val="24"/>
        </w:rPr>
        <w:t>INEXISTENTE</w:t>
      </w:r>
      <w:r w:rsidRPr="00695B36">
        <w:rPr>
          <w:rFonts w:eastAsia="Arial Unicode MS" w:cs="Arial Unicode MS"/>
          <w:b/>
          <w:w w:val="102"/>
          <w:sz w:val="24"/>
        </w:rPr>
        <w:t>,</w:t>
      </w:r>
      <w:r w:rsidRPr="00695B36">
        <w:rPr>
          <w:rFonts w:eastAsia="Arial Unicode MS" w:cs="Arial Unicode MS"/>
          <w:w w:val="102"/>
          <w:sz w:val="24"/>
        </w:rPr>
        <w:t xml:space="preserve"> lo que  impide  brindar lo  requerido  por  el  peticionario, esta dependencia resuelve:</w:t>
      </w: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</w:rPr>
      </w:pPr>
    </w:p>
    <w:p w:rsidR="00C91AAD" w:rsidRPr="00695B36" w:rsidRDefault="00C91AAD" w:rsidP="00C91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4"/>
        </w:rPr>
      </w:pPr>
      <w:r w:rsidRPr="00695B36">
        <w:rPr>
          <w:rFonts w:eastAsia="Arial Unicode MS" w:cs="Arial Unicode MS"/>
          <w:b/>
          <w:color w:val="000099"/>
          <w:w w:val="102"/>
          <w:sz w:val="24"/>
        </w:rPr>
        <w:t>DENEGAR EL ACCESO A LA INFORMACIÓN SOLICITADA POR INEXISTENCIA</w:t>
      </w:r>
    </w:p>
    <w:p w:rsidR="00C91AAD" w:rsidRPr="00695B36" w:rsidRDefault="00C91AAD" w:rsidP="00C91AAD">
      <w:pPr>
        <w:spacing w:after="0"/>
        <w:jc w:val="both"/>
        <w:rPr>
          <w:rFonts w:cstheme="minorHAnsi"/>
          <w:w w:val="102"/>
          <w:sz w:val="24"/>
        </w:rPr>
      </w:pPr>
      <w:r w:rsidRPr="00695B36">
        <w:rPr>
          <w:rFonts w:cstheme="minorHAnsi"/>
          <w:w w:val="102"/>
          <w:sz w:val="24"/>
        </w:rPr>
        <w:t xml:space="preserve">Sobre las peticiones correspondientes a los </w:t>
      </w:r>
      <w:r w:rsidRPr="00695B36">
        <w:rPr>
          <w:rFonts w:cstheme="minorHAnsi"/>
          <w:i/>
          <w:color w:val="000099"/>
          <w:w w:val="102"/>
          <w:sz w:val="24"/>
        </w:rPr>
        <w:t>Anuarios Agropecuarios 2007- 2008 y 2008-2009</w:t>
      </w:r>
      <w:r w:rsidRPr="00695B36">
        <w:rPr>
          <w:rFonts w:cstheme="minorHAnsi"/>
          <w:w w:val="102"/>
          <w:sz w:val="24"/>
        </w:rPr>
        <w:t xml:space="preserve">,se estudió lo solicitado determinándose con base al art. 62 inciso 2º que parte de la misma ya está disponible al público. Por lo tanto resuelve: </w:t>
      </w:r>
    </w:p>
    <w:p w:rsidR="00C91AAD" w:rsidRPr="00695B36" w:rsidRDefault="00C91AAD" w:rsidP="00C91AAD">
      <w:pPr>
        <w:spacing w:after="0"/>
        <w:jc w:val="both"/>
        <w:rPr>
          <w:rFonts w:cstheme="minorHAnsi"/>
          <w:w w:val="102"/>
          <w:sz w:val="12"/>
        </w:rPr>
      </w:pPr>
    </w:p>
    <w:p w:rsidR="00C91AAD" w:rsidRPr="00695B36" w:rsidRDefault="00C91AAD" w:rsidP="00C91AAD">
      <w:pPr>
        <w:spacing w:after="0"/>
        <w:jc w:val="center"/>
        <w:rPr>
          <w:rFonts w:cstheme="minorHAnsi"/>
          <w:b/>
          <w:color w:val="000099"/>
          <w:w w:val="102"/>
          <w:sz w:val="24"/>
        </w:rPr>
      </w:pPr>
      <w:r w:rsidRPr="00695B36">
        <w:rPr>
          <w:rFonts w:cstheme="minorHAnsi"/>
          <w:b/>
          <w:color w:val="000099"/>
          <w:w w:val="102"/>
          <w:sz w:val="24"/>
        </w:rPr>
        <w:t>ORIENTAR LA UBICACIÓN DE LA INFORMACIÓN SOLICITADA</w:t>
      </w:r>
    </w:p>
    <w:p w:rsidR="00C91AAD" w:rsidRPr="00695B36" w:rsidRDefault="00C91AAD" w:rsidP="00C91AAD">
      <w:pPr>
        <w:spacing w:after="0"/>
        <w:jc w:val="both"/>
        <w:rPr>
          <w:rFonts w:cstheme="minorHAnsi"/>
          <w:w w:val="102"/>
          <w:sz w:val="14"/>
        </w:rPr>
      </w:pPr>
    </w:p>
    <w:p w:rsidR="00C91AAD" w:rsidRPr="00695B36" w:rsidRDefault="00C91AAD" w:rsidP="00C91AAD">
      <w:pPr>
        <w:jc w:val="both"/>
        <w:rPr>
          <w:rFonts w:cstheme="minorHAnsi"/>
          <w:w w:val="102"/>
          <w:sz w:val="24"/>
        </w:rPr>
      </w:pPr>
      <w:r w:rsidRPr="00695B36">
        <w:rPr>
          <w:rFonts w:cstheme="minorHAnsi"/>
          <w:w w:val="102"/>
          <w:sz w:val="24"/>
        </w:rPr>
        <w:t>Se comenta que para los ciclos 2007- 2008 y 2008-2009, el Documento Anuario de Estadísticas Agropecuarias no fue publicado, pero los datos utilizados como referencia son los arrojados por el IV Censo Agropecuario, lo cual podrá consultarse, adquirirse o reproducirse en la página web del MAG</w:t>
      </w:r>
      <w:r w:rsidRPr="00695B36">
        <w:rPr>
          <w:rFonts w:cstheme="minorHAnsi"/>
          <w:color w:val="000099"/>
          <w:w w:val="102"/>
          <w:sz w:val="24"/>
        </w:rPr>
        <w:t>, www.mag.gob.sv</w:t>
      </w:r>
      <w:r w:rsidRPr="00695B36">
        <w:rPr>
          <w:rFonts w:cstheme="minorHAnsi"/>
          <w:w w:val="102"/>
          <w:sz w:val="24"/>
        </w:rPr>
        <w:t xml:space="preserve">, en la </w:t>
      </w:r>
      <w:r w:rsidRPr="00695B36">
        <w:rPr>
          <w:rFonts w:cstheme="minorHAnsi"/>
          <w:color w:val="000099"/>
          <w:w w:val="102"/>
          <w:sz w:val="24"/>
        </w:rPr>
        <w:t>Sección Temas/Estadísticas Agropecuarias/Estadísticas de Producción Agropecuaria/Anuarios Agropecuarios e Informes de Encuestas</w:t>
      </w:r>
      <w:r w:rsidRPr="00695B36">
        <w:rPr>
          <w:rFonts w:cstheme="minorHAnsi"/>
          <w:w w:val="102"/>
          <w:sz w:val="24"/>
        </w:rPr>
        <w:t>, o accesar al siguiente link:</w:t>
      </w:r>
    </w:p>
    <w:p w:rsidR="00C91AAD" w:rsidRPr="00695B36" w:rsidRDefault="00C91AAD" w:rsidP="00C91AAD">
      <w:pPr>
        <w:jc w:val="both"/>
        <w:rPr>
          <w:rFonts w:cstheme="minorHAnsi"/>
          <w:color w:val="000099"/>
          <w:w w:val="102"/>
          <w:sz w:val="24"/>
        </w:rPr>
      </w:pPr>
      <w:r w:rsidRPr="00695B36">
        <w:rPr>
          <w:rFonts w:cstheme="minorHAnsi"/>
          <w:color w:val="000099"/>
          <w:w w:val="102"/>
          <w:sz w:val="24"/>
        </w:rPr>
        <w:t>http://www.mag.gob.sv/index.php?option=com_phocadownload&amp;view=category&amp;id=35&amp;Itemid=229</w:t>
      </w:r>
    </w:p>
    <w:p w:rsidR="00C91AAD" w:rsidRDefault="00C91AAD" w:rsidP="00C91AAD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</w:p>
    <w:p w:rsidR="005E2BC6" w:rsidRDefault="005E2BC6" w:rsidP="005E2BC6">
      <w:pPr>
        <w:spacing w:after="0" w:line="360" w:lineRule="auto"/>
        <w:jc w:val="both"/>
        <w:rPr>
          <w:rFonts w:ascii="Arial Narrow" w:hAnsi="Arial Narrow" w:cstheme="minorHAnsi"/>
          <w:w w:val="102"/>
        </w:rPr>
      </w:pPr>
    </w:p>
    <w:p w:rsidR="00A112C4" w:rsidRPr="00287D7A" w:rsidRDefault="00A112C4" w:rsidP="0028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8C3605" w:rsidRPr="00287D7A" w:rsidRDefault="008C3605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P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Pr="00695B36" w:rsidRDefault="00695B36" w:rsidP="00695B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right"/>
        <w:rPr>
          <w:rFonts w:ascii="Arial Narrow" w:eastAsia="Arial Unicode MS" w:hAnsi="Arial Narrow" w:cs="Arial Unicode MS"/>
          <w:b/>
          <w:color w:val="C00000"/>
          <w:w w:val="102"/>
          <w:sz w:val="20"/>
        </w:rPr>
      </w:pP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>1/2</w:t>
      </w:r>
    </w:p>
    <w:p w:rsidR="00695B36" w:rsidRPr="007C4821" w:rsidRDefault="00695B36" w:rsidP="00695B36">
      <w:pPr>
        <w:widowControl w:val="0"/>
        <w:autoSpaceDE w:val="0"/>
        <w:autoSpaceDN w:val="0"/>
        <w:adjustRightInd w:val="0"/>
        <w:spacing w:after="0" w:line="240" w:lineRule="auto"/>
        <w:ind w:left="2670"/>
        <w:jc w:val="right"/>
        <w:rPr>
          <w:rFonts w:cs="Calibri"/>
          <w:b/>
          <w:w w:val="102"/>
        </w:rPr>
      </w:pPr>
    </w:p>
    <w:sectPr w:rsidR="00695B36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21A" w:rsidRDefault="000E321A" w:rsidP="00823710">
      <w:pPr>
        <w:spacing w:after="0" w:line="240" w:lineRule="auto"/>
      </w:pPr>
      <w:r>
        <w:separator/>
      </w:r>
    </w:p>
  </w:endnote>
  <w:endnote w:type="continuationSeparator" w:id="1">
    <w:p w:rsidR="000E321A" w:rsidRDefault="000E321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21A" w:rsidRDefault="000E321A" w:rsidP="00823710">
      <w:pPr>
        <w:spacing w:after="0" w:line="240" w:lineRule="auto"/>
      </w:pPr>
      <w:r>
        <w:separator/>
      </w:r>
    </w:p>
  </w:footnote>
  <w:footnote w:type="continuationSeparator" w:id="1">
    <w:p w:rsidR="000E321A" w:rsidRDefault="000E321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5"/>
  </w:num>
  <w:num w:numId="15">
    <w:abstractNumId w:val="24"/>
  </w:num>
  <w:num w:numId="16">
    <w:abstractNumId w:val="2"/>
  </w:num>
  <w:num w:numId="17">
    <w:abstractNumId w:val="23"/>
  </w:num>
  <w:num w:numId="18">
    <w:abstractNumId w:val="9"/>
  </w:num>
  <w:num w:numId="19">
    <w:abstractNumId w:val="13"/>
  </w:num>
  <w:num w:numId="20">
    <w:abstractNumId w:val="26"/>
  </w:num>
  <w:num w:numId="21">
    <w:abstractNumId w:val="10"/>
  </w:num>
  <w:num w:numId="22">
    <w:abstractNumId w:val="21"/>
  </w:num>
  <w:num w:numId="23">
    <w:abstractNumId w:val="11"/>
  </w:num>
  <w:num w:numId="24">
    <w:abstractNumId w:val="20"/>
  </w:num>
  <w:num w:numId="25">
    <w:abstractNumId w:val="5"/>
  </w:num>
  <w:num w:numId="26">
    <w:abstractNumId w:val="16"/>
  </w:num>
  <w:num w:numId="27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321A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index.php?option=com_phocadownload&amp;view=category&amp;id=22&amp;Itemid=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2017-04-25T15:57:00Z</dcterms:created>
  <dcterms:modified xsi:type="dcterms:W3CDTF">2017-04-25T15:57:00Z</dcterms:modified>
</cp:coreProperties>
</file>