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="00287D7A">
        <w:rPr>
          <w:rFonts w:cstheme="minorHAnsi"/>
          <w:b/>
          <w:color w:val="0000CC"/>
          <w:w w:val="102"/>
          <w:sz w:val="28"/>
          <w:szCs w:val="28"/>
          <w:u w:val="single"/>
        </w:rPr>
        <w:t>2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287D7A">
        <w:rPr>
          <w:rFonts w:eastAsia="Arial Unicode MS" w:cs="Arial Unicode MS"/>
          <w:w w:val="102"/>
          <w:sz w:val="24"/>
          <w:szCs w:val="24"/>
        </w:rPr>
        <w:t xml:space="preserve">Santa Tecla, a </w:t>
      </w:r>
      <w:r w:rsidRPr="00287D7A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287D7A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287D7A">
        <w:rPr>
          <w:rFonts w:eastAsia="Arial Unicode MS" w:cs="Arial Unicode MS"/>
          <w:color w:val="C00000"/>
          <w:w w:val="102"/>
          <w:sz w:val="24"/>
          <w:szCs w:val="24"/>
        </w:rPr>
        <w:t xml:space="preserve">quince horas con treinta minutos </w:t>
      </w:r>
      <w:r w:rsidRPr="00287D7A">
        <w:rPr>
          <w:rFonts w:eastAsia="Arial Unicode MS" w:cs="Arial Unicode MS"/>
          <w:w w:val="102"/>
          <w:sz w:val="24"/>
          <w:szCs w:val="24"/>
        </w:rPr>
        <w:t>d</w:t>
      </w:r>
      <w:r w:rsidRPr="00287D7A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287D7A">
        <w:rPr>
          <w:rFonts w:eastAsia="Arial Unicode MS" w:cs="Arial Unicode MS"/>
          <w:w w:val="102"/>
          <w:sz w:val="24"/>
          <w:szCs w:val="24"/>
        </w:rPr>
        <w:t>l d</w:t>
      </w:r>
      <w:r w:rsidRPr="00287D7A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287D7A">
        <w:rPr>
          <w:rFonts w:eastAsia="Arial Unicode MS" w:cs="Arial Unicode MS"/>
          <w:w w:val="102"/>
          <w:sz w:val="24"/>
          <w:szCs w:val="24"/>
        </w:rPr>
        <w:t xml:space="preserve">a </w:t>
      </w: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>11 de noviembre de 2014</w:t>
      </w:r>
      <w:r w:rsidRPr="00287D7A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287D7A">
        <w:rPr>
          <w:rFonts w:eastAsia="Arial Unicode MS" w:cs="Arial Unicode MS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292-2014 </w:t>
      </w:r>
      <w:r w:rsidRPr="00287D7A">
        <w:rPr>
          <w:rFonts w:eastAsia="Arial Unicode MS" w:cs="Arial Unicode MS"/>
          <w:w w:val="102"/>
          <w:sz w:val="24"/>
          <w:szCs w:val="24"/>
        </w:rPr>
        <w:t>sobre: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Para cada uno de los departamentos de Usulután, San Miguel y Morazán, proporcionar la información detallada sobre las afectaciones en cada uno de los cultivos frijol, maíz, maicillo, arroz  y café, y en el ganado, debido a las dos sequías ocurridas entre junio, julio y agosto de 2014, en términos de: 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1) Área de tierra afectada (Mz) 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>2) Reducción de la producción absoluta (qq) y relativa (%)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3) Pérdidas económicas (US$) 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4) Número de productores afectados por dichas pérdidas 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287D7A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287D7A">
        <w:rPr>
          <w:rFonts w:eastAsia="Arial Unicode MS" w:cs="Arial Unicode MS"/>
          <w:b/>
          <w:color w:val="000099"/>
          <w:sz w:val="24"/>
          <w:szCs w:val="24"/>
        </w:rPr>
        <w:t>:</w:t>
      </w:r>
      <w:r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287D7A">
        <w:rPr>
          <w:b/>
          <w:sz w:val="24"/>
          <w:szCs w:val="24"/>
          <w:highlight w:val="black"/>
        </w:rPr>
        <w:t>*************************</w:t>
      </w: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>,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287D7A">
        <w:rPr>
          <w:rFonts w:eastAsia="Arial Unicode MS" w:cs="Arial Unicode MS"/>
          <w:w w:val="102"/>
          <w:sz w:val="24"/>
          <w:szCs w:val="24"/>
        </w:rPr>
        <w:t xml:space="preserve">y considerando que </w:t>
      </w:r>
      <w:r w:rsidRPr="00287D7A">
        <w:rPr>
          <w:rFonts w:eastAsia="Arial Unicode MS" w:cs="Arial Unicode MS"/>
          <w:color w:val="C00000"/>
          <w:w w:val="102"/>
          <w:sz w:val="24"/>
          <w:szCs w:val="24"/>
        </w:rPr>
        <w:t>parte de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287D7A">
        <w:rPr>
          <w:rFonts w:eastAsia="Arial Unicode MS" w:cs="Arial Unicode MS"/>
          <w:w w:val="102"/>
          <w:sz w:val="24"/>
          <w:szCs w:val="24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>PROPORCIONAR LA INFORMACIÓN PÚBLICA SOLICITADA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287D7A">
        <w:rPr>
          <w:rFonts w:cstheme="minorHAnsi"/>
          <w:w w:val="102"/>
          <w:sz w:val="24"/>
          <w:szCs w:val="24"/>
        </w:rPr>
        <w:t>Se detalla en anexo información a nivel nacional sobre: área de tierra afectada en manzanas; pérdida de la producción en quintales y pérdidas económicas en US$ de maíz, frijol y maicillo.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287D7A">
        <w:rPr>
          <w:rFonts w:cstheme="minorHAnsi"/>
          <w:w w:val="102"/>
          <w:sz w:val="24"/>
          <w:szCs w:val="24"/>
        </w:rPr>
        <w:t xml:space="preserve">La información solicitada por </w:t>
      </w:r>
      <w:r w:rsidRPr="00287D7A">
        <w:rPr>
          <w:rFonts w:cstheme="minorHAnsi"/>
          <w:b/>
          <w:i/>
          <w:color w:val="000099"/>
          <w:w w:val="102"/>
          <w:sz w:val="24"/>
          <w:szCs w:val="24"/>
        </w:rPr>
        <w:t>afectación por departamento, número de productores afectados y sobre pérdidas en ganado</w:t>
      </w:r>
      <w:r w:rsidRPr="00287D7A">
        <w:rPr>
          <w:rFonts w:cstheme="minorHAnsi"/>
          <w:w w:val="102"/>
          <w:sz w:val="24"/>
          <w:szCs w:val="24"/>
        </w:rPr>
        <w:t xml:space="preserve">, se estudió el fondo de lo solicitado y realizado una búsqueda de la información en el área respectiva siendo imposible localizarla en nuestros registros, por no contar con la misma </w:t>
      </w:r>
      <w:r w:rsidRPr="00287D7A">
        <w:rPr>
          <w:rFonts w:cstheme="minorHAnsi"/>
          <w:color w:val="C00000"/>
          <w:w w:val="102"/>
          <w:sz w:val="24"/>
          <w:szCs w:val="24"/>
        </w:rPr>
        <w:t>porque dicha información no se registra</w:t>
      </w:r>
      <w:r w:rsidRPr="00287D7A">
        <w:rPr>
          <w:rFonts w:cstheme="minorHAnsi"/>
          <w:w w:val="102"/>
          <w:sz w:val="24"/>
          <w:szCs w:val="24"/>
        </w:rPr>
        <w:t xml:space="preserve">, </w:t>
      </w:r>
      <w:r w:rsidRPr="00287D7A">
        <w:rPr>
          <w:rFonts w:cstheme="minorHAnsi"/>
          <w:w w:val="102"/>
          <w:sz w:val="24"/>
          <w:szCs w:val="24"/>
        </w:rPr>
        <w:lastRenderedPageBreak/>
        <w:t xml:space="preserve">por tanto y considerando que la Ley de Acceso a la Información Pública dispone en el art. 73 que nos encontramos ante un caso de información </w:t>
      </w:r>
      <w:r w:rsidRPr="00287D7A">
        <w:rPr>
          <w:rFonts w:cstheme="minorHAnsi"/>
          <w:b/>
          <w:color w:val="000099"/>
          <w:w w:val="102"/>
          <w:sz w:val="24"/>
          <w:szCs w:val="24"/>
        </w:rPr>
        <w:t>INEXISTENTE</w:t>
      </w:r>
      <w:r w:rsidRPr="00287D7A">
        <w:rPr>
          <w:rFonts w:cstheme="minorHAnsi"/>
          <w:w w:val="102"/>
          <w:sz w:val="24"/>
          <w:szCs w:val="24"/>
        </w:rPr>
        <w:t>, lo que  impide  brindar lo  requerido  por  el  peticionario, esta dependencia resuelve:</w:t>
      </w:r>
    </w:p>
    <w:p w:rsidR="00287D7A" w:rsidRPr="00287D7A" w:rsidRDefault="00287D7A" w:rsidP="00287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112C4" w:rsidRPr="00287D7A" w:rsidRDefault="00287D7A" w:rsidP="0028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  <w:r w:rsidRPr="00287D7A">
        <w:rPr>
          <w:rFonts w:eastAsia="Arial Unicode MS" w:cs="Arial Unicode MS"/>
          <w:b/>
          <w:color w:val="000099"/>
          <w:w w:val="102"/>
          <w:sz w:val="24"/>
          <w:szCs w:val="24"/>
        </w:rPr>
        <w:t>NEGAR EL ACCESO A LA INFORMACIÓN SOLICITADA POR INEXISTENCIA</w:t>
      </w:r>
    </w:p>
    <w:p w:rsidR="008C3605" w:rsidRPr="00287D7A" w:rsidRDefault="008C3605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P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BE" w:rsidRDefault="005115BE" w:rsidP="00823710">
      <w:pPr>
        <w:spacing w:after="0" w:line="240" w:lineRule="auto"/>
      </w:pPr>
      <w:r>
        <w:separator/>
      </w:r>
    </w:p>
  </w:endnote>
  <w:endnote w:type="continuationSeparator" w:id="1">
    <w:p w:rsidR="005115BE" w:rsidRDefault="005115B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BE" w:rsidRDefault="005115BE" w:rsidP="00823710">
      <w:pPr>
        <w:spacing w:after="0" w:line="240" w:lineRule="auto"/>
      </w:pPr>
      <w:r>
        <w:separator/>
      </w:r>
    </w:p>
  </w:footnote>
  <w:footnote w:type="continuationSeparator" w:id="1">
    <w:p w:rsidR="005115BE" w:rsidRDefault="005115B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22"/>
  </w:num>
  <w:num w:numId="15">
    <w:abstractNumId w:val="21"/>
  </w:num>
  <w:num w:numId="16">
    <w:abstractNumId w:val="2"/>
  </w:num>
  <w:num w:numId="17">
    <w:abstractNumId w:val="20"/>
  </w:num>
  <w:num w:numId="18">
    <w:abstractNumId w:val="8"/>
  </w:num>
  <w:num w:numId="19">
    <w:abstractNumId w:val="12"/>
  </w:num>
  <w:num w:numId="20">
    <w:abstractNumId w:val="23"/>
  </w:num>
  <w:num w:numId="21">
    <w:abstractNumId w:val="9"/>
  </w:num>
  <w:num w:numId="22">
    <w:abstractNumId w:val="19"/>
  </w:num>
  <w:num w:numId="23">
    <w:abstractNumId w:val="10"/>
  </w:num>
  <w:num w:numId="24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2017-04-24T21:26:00Z</dcterms:created>
  <dcterms:modified xsi:type="dcterms:W3CDTF">2017-04-24T21:26:00Z</dcterms:modified>
</cp:coreProperties>
</file>