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Pr="002C7E2F" w:rsidRDefault="00C43B60" w:rsidP="00CD5C4A">
      <w:pPr>
        <w:spacing w:after="0" w:line="240" w:lineRule="auto"/>
        <w:rPr>
          <w:rFonts w:eastAsia="Arial Unicode MS" w:cs="Arial Unicode MS"/>
          <w:b/>
          <w:i/>
          <w:color w:val="000099"/>
          <w:sz w:val="28"/>
          <w:szCs w:val="28"/>
        </w:rPr>
      </w:pPr>
    </w:p>
    <w:p w:rsidR="002C7E2F" w:rsidRPr="007205FC" w:rsidRDefault="002C7E2F" w:rsidP="002C7E2F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N° 2</w:t>
      </w:r>
      <w:r w:rsidR="002B4926">
        <w:rPr>
          <w:rFonts w:cstheme="minorHAnsi"/>
          <w:b/>
          <w:color w:val="0000CC"/>
          <w:w w:val="102"/>
          <w:sz w:val="28"/>
          <w:szCs w:val="28"/>
          <w:u w:val="single"/>
        </w:rPr>
        <w:t>82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2C7E2F" w:rsidRPr="00D82D37" w:rsidRDefault="002C7E2F" w:rsidP="002C7E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2B4926" w:rsidRPr="003D237D" w:rsidRDefault="002B4926" w:rsidP="002B492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w w:val="102"/>
        </w:rPr>
      </w:pPr>
      <w:r w:rsidRPr="003D237D">
        <w:rPr>
          <w:rFonts w:eastAsia="Arial Unicode MS" w:cstheme="minorHAnsi"/>
          <w:w w:val="102"/>
        </w:rPr>
        <w:t>Santa Tecla,</w:t>
      </w:r>
      <w:r>
        <w:rPr>
          <w:rFonts w:eastAsia="Arial Unicode MS" w:cstheme="minorHAnsi"/>
          <w:w w:val="102"/>
        </w:rPr>
        <w:t xml:space="preserve"> </w:t>
      </w:r>
      <w:r w:rsidRPr="003D237D">
        <w:rPr>
          <w:rFonts w:eastAsia="Arial Unicode MS" w:cstheme="minorHAnsi"/>
          <w:w w:val="102"/>
        </w:rPr>
        <w:t>a</w:t>
      </w:r>
      <w:r>
        <w:rPr>
          <w:rFonts w:eastAsia="Arial Unicode MS" w:cstheme="minorHAnsi"/>
          <w:w w:val="102"/>
        </w:rPr>
        <w:t xml:space="preserve"> </w:t>
      </w:r>
      <w:r w:rsidRPr="003D237D">
        <w:rPr>
          <w:rFonts w:eastAsia="Arial Unicode MS" w:cstheme="minorHAnsi"/>
          <w:spacing w:val="1"/>
          <w:w w:val="102"/>
        </w:rPr>
        <w:t>l</w:t>
      </w:r>
      <w:r w:rsidRPr="003D237D">
        <w:rPr>
          <w:rFonts w:eastAsia="Arial Unicode MS" w:cstheme="minorHAnsi"/>
          <w:w w:val="102"/>
        </w:rPr>
        <w:t xml:space="preserve">as </w:t>
      </w:r>
      <w:r>
        <w:rPr>
          <w:rFonts w:eastAsia="Arial Unicode MS" w:cstheme="minorHAnsi"/>
          <w:color w:val="C00000"/>
          <w:w w:val="102"/>
        </w:rPr>
        <w:t>on</w:t>
      </w:r>
      <w:r w:rsidRPr="003D237D">
        <w:rPr>
          <w:rFonts w:eastAsia="Arial Unicode MS" w:cstheme="minorHAnsi"/>
          <w:color w:val="C00000"/>
          <w:w w:val="102"/>
        </w:rPr>
        <w:t xml:space="preserve">ce horas con </w:t>
      </w:r>
      <w:r>
        <w:rPr>
          <w:rFonts w:eastAsia="Arial Unicode MS" w:cstheme="minorHAnsi"/>
          <w:color w:val="C00000"/>
          <w:w w:val="102"/>
        </w:rPr>
        <w:t>diez</w:t>
      </w:r>
      <w:r w:rsidRPr="003D237D">
        <w:rPr>
          <w:rFonts w:eastAsia="Arial Unicode MS" w:cstheme="minorHAnsi"/>
          <w:color w:val="C00000"/>
          <w:w w:val="102"/>
        </w:rPr>
        <w:t xml:space="preserve"> minutos</w:t>
      </w:r>
      <w:r>
        <w:rPr>
          <w:rFonts w:eastAsia="Arial Unicode MS" w:cstheme="minorHAnsi"/>
          <w:color w:val="C00000"/>
          <w:w w:val="102"/>
        </w:rPr>
        <w:t xml:space="preserve"> </w:t>
      </w:r>
      <w:r w:rsidRPr="003D237D">
        <w:rPr>
          <w:rFonts w:eastAsia="Arial Unicode MS" w:cstheme="minorHAnsi"/>
          <w:w w:val="102"/>
        </w:rPr>
        <w:t>d</w:t>
      </w:r>
      <w:r w:rsidRPr="003D237D">
        <w:rPr>
          <w:rFonts w:eastAsia="Arial Unicode MS" w:cstheme="minorHAnsi"/>
          <w:spacing w:val="-4"/>
          <w:w w:val="102"/>
        </w:rPr>
        <w:t>e</w:t>
      </w:r>
      <w:r w:rsidRPr="003D237D">
        <w:rPr>
          <w:rFonts w:eastAsia="Arial Unicode MS" w:cstheme="minorHAnsi"/>
          <w:w w:val="102"/>
        </w:rPr>
        <w:t>l</w:t>
      </w:r>
      <w:r>
        <w:rPr>
          <w:rFonts w:eastAsia="Arial Unicode MS" w:cstheme="minorHAnsi"/>
          <w:w w:val="102"/>
        </w:rPr>
        <w:t xml:space="preserve"> </w:t>
      </w:r>
      <w:r w:rsidRPr="003D237D">
        <w:rPr>
          <w:rFonts w:eastAsia="Arial Unicode MS" w:cstheme="minorHAnsi"/>
          <w:w w:val="102"/>
        </w:rPr>
        <w:t>d</w:t>
      </w:r>
      <w:r w:rsidRPr="003D237D">
        <w:rPr>
          <w:rFonts w:eastAsia="Arial Unicode MS" w:cstheme="minorHAnsi"/>
          <w:spacing w:val="1"/>
          <w:w w:val="102"/>
        </w:rPr>
        <w:t>í</w:t>
      </w:r>
      <w:r w:rsidRPr="003D237D">
        <w:rPr>
          <w:rFonts w:eastAsia="Arial Unicode MS" w:cstheme="minorHAnsi"/>
          <w:w w:val="102"/>
        </w:rPr>
        <w:t>a</w:t>
      </w:r>
      <w:r>
        <w:rPr>
          <w:rFonts w:eastAsia="Arial Unicode MS" w:cstheme="minorHAnsi"/>
          <w:w w:val="102"/>
        </w:rPr>
        <w:t xml:space="preserve"> </w:t>
      </w:r>
      <w:r w:rsidRPr="003D237D">
        <w:rPr>
          <w:rFonts w:eastAsia="Arial Unicode MS" w:cstheme="minorHAnsi"/>
          <w:b/>
          <w:color w:val="000099"/>
          <w:w w:val="102"/>
        </w:rPr>
        <w:t>1</w:t>
      </w:r>
      <w:r>
        <w:rPr>
          <w:rFonts w:eastAsia="Arial Unicode MS" w:cstheme="minorHAnsi"/>
          <w:b/>
          <w:color w:val="000099"/>
          <w:w w:val="102"/>
        </w:rPr>
        <w:t xml:space="preserve">3 </w:t>
      </w:r>
      <w:r w:rsidRPr="003D237D">
        <w:rPr>
          <w:rFonts w:eastAsia="Arial Unicode MS" w:cstheme="minorHAnsi"/>
          <w:b/>
          <w:color w:val="000099"/>
          <w:w w:val="102"/>
        </w:rPr>
        <w:t>de noviembre de 2014</w:t>
      </w:r>
      <w:r w:rsidRPr="003D237D">
        <w:rPr>
          <w:rFonts w:eastAsia="Arial Unicode MS" w:cstheme="minorHAnsi"/>
          <w:color w:val="000099"/>
          <w:w w:val="102"/>
        </w:rPr>
        <w:t xml:space="preserve">, </w:t>
      </w:r>
      <w:r w:rsidRPr="003D237D">
        <w:rPr>
          <w:rFonts w:eastAsia="Arial Unicode MS" w:cstheme="minorHAnsi"/>
          <w:w w:val="102"/>
        </w:rPr>
        <w:t>el Ministerio de Agricultura y Ganadería luego de haber recibido y admitido la solicitud de información</w:t>
      </w:r>
      <w:r>
        <w:rPr>
          <w:rFonts w:eastAsia="Arial Unicode MS" w:cstheme="minorHAnsi"/>
          <w:w w:val="102"/>
        </w:rPr>
        <w:t xml:space="preserve"> </w:t>
      </w:r>
      <w:r>
        <w:rPr>
          <w:rFonts w:eastAsia="Arial Unicode MS" w:cstheme="minorHAnsi"/>
          <w:b/>
          <w:color w:val="000099"/>
          <w:w w:val="102"/>
        </w:rPr>
        <w:t>Nº</w:t>
      </w:r>
      <w:r w:rsidRPr="003D237D">
        <w:rPr>
          <w:rFonts w:eastAsia="Arial Unicode MS" w:cstheme="minorHAnsi"/>
          <w:b/>
          <w:color w:val="000099"/>
          <w:w w:val="102"/>
        </w:rPr>
        <w:t xml:space="preserve"> 2</w:t>
      </w:r>
      <w:r>
        <w:rPr>
          <w:rFonts w:eastAsia="Arial Unicode MS" w:cstheme="minorHAnsi"/>
          <w:b/>
          <w:color w:val="000099"/>
          <w:w w:val="102"/>
        </w:rPr>
        <w:t>8</w:t>
      </w:r>
      <w:r w:rsidRPr="003D237D">
        <w:rPr>
          <w:rFonts w:eastAsia="Arial Unicode MS" w:cstheme="minorHAnsi"/>
          <w:b/>
          <w:color w:val="000099"/>
          <w:w w:val="102"/>
        </w:rPr>
        <w:t>2</w:t>
      </w:r>
      <w:r>
        <w:rPr>
          <w:rFonts w:eastAsia="Arial Unicode MS" w:cstheme="minorHAnsi"/>
          <w:b/>
          <w:color w:val="000099"/>
          <w:w w:val="102"/>
        </w:rPr>
        <w:t xml:space="preserve">-2014 </w:t>
      </w:r>
      <w:r w:rsidRPr="003D237D">
        <w:rPr>
          <w:rFonts w:eastAsia="Arial Unicode MS" w:cstheme="minorHAnsi"/>
          <w:w w:val="102"/>
        </w:rPr>
        <w:t>sobre:</w:t>
      </w:r>
    </w:p>
    <w:p w:rsidR="002B4926" w:rsidRPr="005E5F4F" w:rsidRDefault="002B4926" w:rsidP="002B492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b/>
          <w:color w:val="000099"/>
          <w:w w:val="102"/>
          <w:sz w:val="14"/>
        </w:rPr>
      </w:pPr>
    </w:p>
    <w:p w:rsidR="002B4926" w:rsidRPr="003D237D" w:rsidRDefault="002B4926" w:rsidP="002B492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b/>
          <w:color w:val="000099"/>
          <w:w w:val="102"/>
        </w:rPr>
      </w:pPr>
      <w:r w:rsidRPr="003D237D">
        <w:rPr>
          <w:rFonts w:eastAsia="Arial Unicode MS" w:cstheme="minorHAnsi"/>
          <w:b/>
          <w:color w:val="000099"/>
          <w:w w:val="102"/>
        </w:rPr>
        <w:t>Historial mensual de precios de pescadores y mariscos la mayoría por zona de venta o precio general desde 2000 hasta 2013, de las siguientes zonas: La Libertad, Acajutla, Puerto El Triunfo y la Tiendona.</w:t>
      </w:r>
    </w:p>
    <w:p w:rsidR="002B4926" w:rsidRPr="003D237D" w:rsidRDefault="002B4926" w:rsidP="002B492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w w:val="102"/>
          <w:sz w:val="12"/>
        </w:rPr>
      </w:pPr>
    </w:p>
    <w:p w:rsidR="002B4926" w:rsidRPr="003D237D" w:rsidRDefault="002B4926" w:rsidP="002B492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theme="minorHAnsi"/>
          <w:w w:val="102"/>
        </w:rPr>
      </w:pPr>
      <w:r w:rsidRPr="003D237D">
        <w:rPr>
          <w:rFonts w:eastAsia="Arial Unicode MS" w:cstheme="minorHAnsi"/>
          <w:w w:val="102"/>
        </w:rPr>
        <w:t>Presentada ante la Oficina de Información y Respuesta de esta dependencia por parte de</w:t>
      </w:r>
      <w:r w:rsidRPr="003D237D">
        <w:rPr>
          <w:rFonts w:eastAsia="Arial Unicode MS" w:cstheme="minorHAnsi"/>
          <w:b/>
          <w:color w:val="000099"/>
        </w:rPr>
        <w:t>:</w:t>
      </w:r>
      <w:r>
        <w:rPr>
          <w:rFonts w:cstheme="minorHAnsi"/>
          <w:b/>
          <w:color w:val="000099"/>
        </w:rPr>
        <w:t xml:space="preserve"> </w:t>
      </w:r>
      <w:r w:rsidRPr="002B4926">
        <w:rPr>
          <w:rFonts w:cstheme="minorHAnsi"/>
          <w:b/>
          <w:highlight w:val="black"/>
        </w:rPr>
        <w:t>******************</w:t>
      </w:r>
      <w:r>
        <w:rPr>
          <w:rFonts w:cstheme="minorHAnsi"/>
          <w:b/>
          <w:color w:val="000099"/>
        </w:rPr>
        <w:t xml:space="preserve">, </w:t>
      </w:r>
      <w:r w:rsidRPr="003D237D">
        <w:rPr>
          <w:rFonts w:eastAsia="Arial Unicode MS" w:cstheme="minorHAnsi"/>
          <w:w w:val="102"/>
        </w:rPr>
        <w:t xml:space="preserve">y considerando que </w:t>
      </w:r>
      <w:r w:rsidRPr="003D237D">
        <w:rPr>
          <w:rFonts w:eastAsia="Arial Unicode MS" w:cstheme="minorHAnsi"/>
          <w:color w:val="C00000"/>
          <w:w w:val="102"/>
        </w:rPr>
        <w:t>parte de</w:t>
      </w:r>
      <w:r>
        <w:rPr>
          <w:rFonts w:eastAsia="Arial Unicode MS" w:cstheme="minorHAnsi"/>
          <w:color w:val="C00000"/>
          <w:w w:val="102"/>
        </w:rPr>
        <w:t xml:space="preserve"> </w:t>
      </w:r>
      <w:r w:rsidRPr="003D237D">
        <w:rPr>
          <w:rFonts w:eastAsia="Arial Unicode MS" w:cstheme="minorHAnsi"/>
          <w:w w:val="102"/>
        </w:rPr>
        <w:t xml:space="preserve">la información solicitada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2B4926" w:rsidRPr="003D237D" w:rsidRDefault="002B4926" w:rsidP="002B492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 w:val="12"/>
        </w:rPr>
      </w:pPr>
    </w:p>
    <w:p w:rsidR="002B4926" w:rsidRPr="003D237D" w:rsidRDefault="002B4926" w:rsidP="002B492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w w:val="102"/>
          <w:sz w:val="24"/>
        </w:rPr>
      </w:pPr>
      <w:r w:rsidRPr="003D237D">
        <w:rPr>
          <w:rFonts w:eastAsia="Arial Unicode MS" w:cstheme="minorHAnsi"/>
          <w:b/>
          <w:color w:val="000099"/>
          <w:w w:val="102"/>
          <w:sz w:val="24"/>
        </w:rPr>
        <w:t>PROPORCIONAR LA INFORMACIÓN PÚBLICA SOLICITADA</w:t>
      </w:r>
    </w:p>
    <w:p w:rsidR="002B4926" w:rsidRPr="003D237D" w:rsidRDefault="002B4926" w:rsidP="002B492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  <w:color w:val="000099"/>
          <w:w w:val="102"/>
          <w:sz w:val="12"/>
        </w:rPr>
      </w:pPr>
    </w:p>
    <w:p w:rsidR="002B4926" w:rsidRDefault="002B4926" w:rsidP="002B492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  <w:r w:rsidRPr="003D237D">
        <w:rPr>
          <w:rFonts w:cstheme="minorHAnsi"/>
          <w:w w:val="102"/>
        </w:rPr>
        <w:t xml:space="preserve">Se detalla en anexo </w:t>
      </w:r>
      <w:r w:rsidRPr="005E5F4F">
        <w:rPr>
          <w:rFonts w:cstheme="minorHAnsi"/>
          <w:i/>
          <w:color w:val="000099"/>
          <w:w w:val="102"/>
        </w:rPr>
        <w:t>información disponible del período 2000-2007</w:t>
      </w:r>
      <w:r>
        <w:rPr>
          <w:rFonts w:cstheme="minorHAnsi"/>
          <w:w w:val="102"/>
        </w:rPr>
        <w:t>contenida en cuadros separados, el primero por lugar de desembarque, volumen, valor y precio estimados por mes; y el segundo por lugar de desembarque, volumen, valor y la estimación del precio promedio anual por especie.</w:t>
      </w:r>
    </w:p>
    <w:p w:rsidR="002B4926" w:rsidRPr="003D237D" w:rsidRDefault="002B4926" w:rsidP="002B492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12"/>
        </w:rPr>
      </w:pPr>
    </w:p>
    <w:p w:rsidR="002B4926" w:rsidRPr="003D237D" w:rsidRDefault="002B4926" w:rsidP="002B492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  <w:r w:rsidRPr="003D237D">
        <w:rPr>
          <w:rFonts w:cstheme="minorHAnsi"/>
          <w:w w:val="102"/>
        </w:rPr>
        <w:t xml:space="preserve">La información solicitada </w:t>
      </w:r>
      <w:r>
        <w:rPr>
          <w:rFonts w:cstheme="minorHAnsi"/>
          <w:w w:val="102"/>
        </w:rPr>
        <w:t xml:space="preserve">de </w:t>
      </w:r>
      <w:r w:rsidRPr="007B3A20">
        <w:rPr>
          <w:rFonts w:cstheme="minorHAnsi"/>
          <w:i/>
          <w:color w:val="000099"/>
          <w:w w:val="102"/>
        </w:rPr>
        <w:t>2008 a 2013 y del Mercado de Mayoreo La Tiendona</w:t>
      </w:r>
      <w:r>
        <w:rPr>
          <w:rFonts w:cstheme="minorHAnsi"/>
          <w:w w:val="102"/>
        </w:rPr>
        <w:t xml:space="preserve">, </w:t>
      </w:r>
      <w:r w:rsidRPr="003D237D">
        <w:rPr>
          <w:rFonts w:cstheme="minorHAnsi"/>
          <w:w w:val="102"/>
        </w:rPr>
        <w:t xml:space="preserve">se estudió el fondo de lo solicitado y realizado una búsqueda de la información en el área respectiva siendo imposible localizarla en nuestros registros, por no contar con la misma </w:t>
      </w:r>
      <w:r w:rsidRPr="003D237D">
        <w:rPr>
          <w:rFonts w:cstheme="minorHAnsi"/>
          <w:color w:val="C00000"/>
          <w:w w:val="102"/>
        </w:rPr>
        <w:t>porque dicha información no se registra</w:t>
      </w:r>
      <w:r w:rsidRPr="003D237D">
        <w:rPr>
          <w:rFonts w:cstheme="minorHAnsi"/>
          <w:w w:val="102"/>
        </w:rPr>
        <w:t xml:space="preserve">, </w:t>
      </w:r>
      <w:r w:rsidRPr="002D149D">
        <w:rPr>
          <w:rFonts w:cstheme="minorHAnsi"/>
          <w:color w:val="C00000"/>
          <w:w w:val="102"/>
        </w:rPr>
        <w:t>no existe cobertura en el levantamiento de esa información</w:t>
      </w:r>
      <w:r>
        <w:rPr>
          <w:rFonts w:cstheme="minorHAnsi"/>
          <w:w w:val="102"/>
        </w:rPr>
        <w:t xml:space="preserve">, </w:t>
      </w:r>
      <w:r w:rsidRPr="003D237D">
        <w:rPr>
          <w:rFonts w:cstheme="minorHAnsi"/>
          <w:w w:val="102"/>
        </w:rPr>
        <w:t xml:space="preserve">por tanto y considerando que la Ley de Acceso a la Información Pública dispone en el art. 73 que nos encontramos ante un caso de información </w:t>
      </w:r>
      <w:r w:rsidRPr="003D237D">
        <w:rPr>
          <w:rFonts w:cstheme="minorHAnsi"/>
          <w:b/>
          <w:color w:val="000099"/>
          <w:w w:val="102"/>
        </w:rPr>
        <w:t>INEXISTENTE</w:t>
      </w:r>
      <w:r w:rsidRPr="003D237D">
        <w:rPr>
          <w:rFonts w:cstheme="minorHAnsi"/>
          <w:w w:val="102"/>
        </w:rPr>
        <w:t>, lo que  impide  brindar lo  requerido  por  el  peticionario, esta dependencia resuelve:</w:t>
      </w:r>
    </w:p>
    <w:p w:rsidR="002B4926" w:rsidRPr="003D237D" w:rsidRDefault="002B4926" w:rsidP="002B492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2"/>
        </w:rPr>
      </w:pPr>
    </w:p>
    <w:p w:rsidR="006800B4" w:rsidRDefault="002B4926" w:rsidP="002B4926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spacing w:val="2"/>
          <w:sz w:val="24"/>
          <w:szCs w:val="24"/>
        </w:rPr>
      </w:pPr>
      <w:r w:rsidRPr="003D237D">
        <w:rPr>
          <w:rFonts w:eastAsia="Arial Unicode MS" w:cstheme="minorHAnsi"/>
          <w:b/>
          <w:color w:val="000099"/>
          <w:w w:val="102"/>
          <w:sz w:val="24"/>
        </w:rPr>
        <w:t>NEGAR EL ACCESO A LA INFORMACIÓN SOLICITADA POR INEXISTENCIA</w:t>
      </w:r>
    </w:p>
    <w:p w:rsidR="00E46A7B" w:rsidRPr="00527430" w:rsidRDefault="00E46A7B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F74" w:rsidRDefault="00386F74" w:rsidP="00823710">
      <w:pPr>
        <w:spacing w:after="0" w:line="240" w:lineRule="auto"/>
      </w:pPr>
      <w:r>
        <w:separator/>
      </w:r>
    </w:p>
  </w:endnote>
  <w:endnote w:type="continuationSeparator" w:id="1">
    <w:p w:rsidR="00386F74" w:rsidRDefault="00386F74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F74" w:rsidRDefault="00386F74" w:rsidP="00823710">
      <w:pPr>
        <w:spacing w:after="0" w:line="240" w:lineRule="auto"/>
      </w:pPr>
      <w:r>
        <w:separator/>
      </w:r>
    </w:p>
  </w:footnote>
  <w:footnote w:type="continuationSeparator" w:id="1">
    <w:p w:rsidR="00386F74" w:rsidRDefault="00386F74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EC3F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C3F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21DE7"/>
    <w:multiLevelType w:val="hybridMultilevel"/>
    <w:tmpl w:val="D1F64A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77882"/>
    <w:multiLevelType w:val="hybridMultilevel"/>
    <w:tmpl w:val="D794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7C0558"/>
    <w:multiLevelType w:val="hybridMultilevel"/>
    <w:tmpl w:val="7B6A1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4"/>
  </w:num>
  <w:num w:numId="3">
    <w:abstractNumId w:val="15"/>
  </w:num>
  <w:num w:numId="4">
    <w:abstractNumId w:val="13"/>
  </w:num>
  <w:num w:numId="5">
    <w:abstractNumId w:val="5"/>
  </w:num>
  <w:num w:numId="6">
    <w:abstractNumId w:val="9"/>
  </w:num>
  <w:num w:numId="7">
    <w:abstractNumId w:val="7"/>
  </w:num>
  <w:num w:numId="8">
    <w:abstractNumId w:val="0"/>
  </w:num>
  <w:num w:numId="9">
    <w:abstractNumId w:val="12"/>
  </w:num>
  <w:num w:numId="10">
    <w:abstractNumId w:val="1"/>
  </w:num>
  <w:num w:numId="11">
    <w:abstractNumId w:val="3"/>
  </w:num>
  <w:num w:numId="12">
    <w:abstractNumId w:val="14"/>
  </w:num>
  <w:num w:numId="13">
    <w:abstractNumId w:val="6"/>
  </w:num>
  <w:num w:numId="14">
    <w:abstractNumId w:val="18"/>
  </w:num>
  <w:num w:numId="15">
    <w:abstractNumId w:val="17"/>
  </w:num>
  <w:num w:numId="16">
    <w:abstractNumId w:val="2"/>
  </w:num>
  <w:num w:numId="17">
    <w:abstractNumId w:val="16"/>
  </w:num>
  <w:num w:numId="18">
    <w:abstractNumId w:val="8"/>
  </w:num>
  <w:num w:numId="19">
    <w:abstractNumId w:val="10"/>
  </w:num>
  <w:num w:numId="20">
    <w:abstractNumId w:val="1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04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D37F6"/>
    <w:rsid w:val="001D538F"/>
    <w:rsid w:val="001E622B"/>
    <w:rsid w:val="001F409D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907CB"/>
    <w:rsid w:val="00295490"/>
    <w:rsid w:val="002966CE"/>
    <w:rsid w:val="002A6663"/>
    <w:rsid w:val="002B2AAF"/>
    <w:rsid w:val="002B4926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4388"/>
    <w:rsid w:val="003357B5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86F74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46625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95967"/>
    <w:rsid w:val="005A20C7"/>
    <w:rsid w:val="005A54B2"/>
    <w:rsid w:val="005C04FD"/>
    <w:rsid w:val="005C1151"/>
    <w:rsid w:val="005E13F4"/>
    <w:rsid w:val="005E24AD"/>
    <w:rsid w:val="005E53DC"/>
    <w:rsid w:val="005E6251"/>
    <w:rsid w:val="005F164B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0B4"/>
    <w:rsid w:val="0068013A"/>
    <w:rsid w:val="00686F08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45687"/>
    <w:rsid w:val="00747964"/>
    <w:rsid w:val="00771A53"/>
    <w:rsid w:val="0077362C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BA8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43162"/>
    <w:rsid w:val="00A64A02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928AD"/>
    <w:rsid w:val="00C95C75"/>
    <w:rsid w:val="00CB39BA"/>
    <w:rsid w:val="00CC44DA"/>
    <w:rsid w:val="00CD5C4A"/>
    <w:rsid w:val="00CE3B45"/>
    <w:rsid w:val="00D05779"/>
    <w:rsid w:val="00D152B7"/>
    <w:rsid w:val="00D3758D"/>
    <w:rsid w:val="00D43507"/>
    <w:rsid w:val="00D54926"/>
    <w:rsid w:val="00D8056B"/>
    <w:rsid w:val="00D82D37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372D5"/>
    <w:rsid w:val="00E46A7B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26E1B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2017-04-24T20:46:00Z</dcterms:created>
  <dcterms:modified xsi:type="dcterms:W3CDTF">2017-04-24T20:46:00Z</dcterms:modified>
</cp:coreProperties>
</file>