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1673E5">
        <w:rPr>
          <w:rFonts w:cstheme="minorHAnsi"/>
          <w:b/>
          <w:color w:val="0000CC"/>
          <w:w w:val="102"/>
          <w:sz w:val="28"/>
          <w:szCs w:val="28"/>
          <w:u w:val="single"/>
        </w:rPr>
        <w:t>71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B0D44" w:rsidRPr="00AB0D44" w:rsidRDefault="00AB0D44" w:rsidP="00AB0D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AB0D44">
        <w:rPr>
          <w:rFonts w:eastAsia="Arial Unicode MS" w:cs="Arial Unicode MS"/>
          <w:w w:val="102"/>
        </w:rPr>
        <w:t>Santa Tecla,</w:t>
      </w:r>
      <w:r w:rsidR="001673E5">
        <w:rPr>
          <w:rFonts w:eastAsia="Arial Unicode MS" w:cs="Arial Unicode MS"/>
          <w:w w:val="102"/>
        </w:rPr>
        <w:t xml:space="preserve"> </w:t>
      </w:r>
      <w:r w:rsidRPr="00AB0D44">
        <w:rPr>
          <w:rFonts w:eastAsia="Arial Unicode MS" w:cs="Arial Unicode MS"/>
          <w:w w:val="102"/>
        </w:rPr>
        <w:t>a</w:t>
      </w:r>
      <w:r w:rsidR="001673E5">
        <w:rPr>
          <w:rFonts w:eastAsia="Arial Unicode MS" w:cs="Arial Unicode MS"/>
          <w:w w:val="102"/>
        </w:rPr>
        <w:t xml:space="preserve"> </w:t>
      </w:r>
      <w:r w:rsidRPr="00AB0D44">
        <w:rPr>
          <w:rFonts w:eastAsia="Arial Unicode MS" w:cs="Arial Unicode MS"/>
          <w:spacing w:val="1"/>
          <w:w w:val="102"/>
        </w:rPr>
        <w:t>l</w:t>
      </w:r>
      <w:r w:rsidRPr="00AB0D44">
        <w:rPr>
          <w:rFonts w:eastAsia="Arial Unicode MS" w:cs="Arial Unicode MS"/>
          <w:w w:val="102"/>
        </w:rPr>
        <w:t xml:space="preserve">as </w:t>
      </w:r>
      <w:r w:rsidRPr="00AB0D44">
        <w:rPr>
          <w:rFonts w:eastAsia="Arial Unicode MS" w:cs="Arial Unicode MS"/>
          <w:color w:val="C00000"/>
          <w:w w:val="102"/>
        </w:rPr>
        <w:t>catorce</w:t>
      </w:r>
      <w:r w:rsidR="001673E5">
        <w:rPr>
          <w:rFonts w:eastAsia="Arial Unicode MS" w:cs="Arial Unicode MS"/>
          <w:color w:val="C00000"/>
          <w:w w:val="102"/>
        </w:rPr>
        <w:t xml:space="preserve"> </w:t>
      </w:r>
      <w:r w:rsidRPr="00AB0D44">
        <w:rPr>
          <w:rFonts w:eastAsia="Arial Unicode MS" w:cs="Arial Unicode MS"/>
          <w:color w:val="C00000"/>
          <w:w w:val="102"/>
        </w:rPr>
        <w:t>horas con treinta minutos</w:t>
      </w:r>
      <w:r w:rsidR="001673E5">
        <w:rPr>
          <w:rFonts w:eastAsia="Arial Unicode MS" w:cs="Arial Unicode MS"/>
          <w:color w:val="C00000"/>
          <w:w w:val="102"/>
        </w:rPr>
        <w:t xml:space="preserve"> </w:t>
      </w:r>
      <w:r w:rsidRPr="00AB0D44">
        <w:rPr>
          <w:rFonts w:eastAsia="Arial Unicode MS" w:cs="Arial Unicode MS"/>
          <w:w w:val="102"/>
        </w:rPr>
        <w:t>d</w:t>
      </w:r>
      <w:r w:rsidRPr="00AB0D44">
        <w:rPr>
          <w:rFonts w:eastAsia="Arial Unicode MS" w:cs="Arial Unicode MS"/>
          <w:spacing w:val="-4"/>
          <w:w w:val="102"/>
        </w:rPr>
        <w:t>e</w:t>
      </w:r>
      <w:r w:rsidRPr="00AB0D44">
        <w:rPr>
          <w:rFonts w:eastAsia="Arial Unicode MS" w:cs="Arial Unicode MS"/>
          <w:w w:val="102"/>
        </w:rPr>
        <w:t>l</w:t>
      </w:r>
      <w:r w:rsidR="001673E5">
        <w:rPr>
          <w:rFonts w:eastAsia="Arial Unicode MS" w:cs="Arial Unicode MS"/>
          <w:w w:val="102"/>
        </w:rPr>
        <w:t xml:space="preserve"> </w:t>
      </w:r>
      <w:r w:rsidRPr="00AB0D44">
        <w:rPr>
          <w:rFonts w:eastAsia="Arial Unicode MS" w:cs="Arial Unicode MS"/>
          <w:w w:val="102"/>
        </w:rPr>
        <w:t>d</w:t>
      </w:r>
      <w:r w:rsidRPr="00AB0D44">
        <w:rPr>
          <w:rFonts w:eastAsia="Arial Unicode MS" w:cs="Arial Unicode MS"/>
          <w:spacing w:val="1"/>
          <w:w w:val="102"/>
        </w:rPr>
        <w:t>í</w:t>
      </w:r>
      <w:r w:rsidRPr="00AB0D44">
        <w:rPr>
          <w:rFonts w:eastAsia="Arial Unicode MS" w:cs="Arial Unicode MS"/>
          <w:w w:val="102"/>
        </w:rPr>
        <w:t>a</w:t>
      </w:r>
      <w:r w:rsidR="001673E5">
        <w:rPr>
          <w:rFonts w:eastAsia="Arial Unicode MS" w:cs="Arial Unicode MS"/>
          <w:w w:val="102"/>
        </w:rPr>
        <w:t xml:space="preserve"> </w:t>
      </w:r>
      <w:r w:rsidRPr="00AB0D44">
        <w:rPr>
          <w:rFonts w:eastAsia="Arial Unicode MS" w:cs="Arial Unicode MS"/>
          <w:b/>
          <w:color w:val="000099"/>
          <w:w w:val="102"/>
        </w:rPr>
        <w:t>3</w:t>
      </w:r>
      <w:r w:rsidR="001673E5">
        <w:rPr>
          <w:rFonts w:eastAsia="Arial Unicode MS" w:cs="Arial Unicode MS"/>
          <w:b/>
          <w:color w:val="000099"/>
          <w:w w:val="102"/>
        </w:rPr>
        <w:t xml:space="preserve"> </w:t>
      </w:r>
      <w:r w:rsidRPr="00AB0D44">
        <w:rPr>
          <w:rFonts w:eastAsia="Arial Unicode MS" w:cs="Arial Unicode MS"/>
          <w:b/>
          <w:color w:val="000099"/>
          <w:w w:val="102"/>
        </w:rPr>
        <w:t>de noviembre de 2014</w:t>
      </w:r>
      <w:r w:rsidRPr="00AB0D44">
        <w:rPr>
          <w:rFonts w:eastAsia="Arial Unicode MS" w:cs="Arial Unicode MS"/>
          <w:color w:val="000099"/>
          <w:w w:val="102"/>
        </w:rPr>
        <w:t xml:space="preserve">, </w:t>
      </w:r>
      <w:r w:rsidRPr="00AB0D44">
        <w:rPr>
          <w:rFonts w:eastAsia="Arial Unicode MS" w:cs="Arial Unicode MS"/>
          <w:w w:val="102"/>
        </w:rPr>
        <w:t>el Ministerio de Agricultura y Ganadería luego de haber recibido y admitido la solicitud de información</w:t>
      </w:r>
      <w:r w:rsidR="001673E5">
        <w:rPr>
          <w:rFonts w:eastAsia="Arial Unicode MS" w:cs="Arial Unicode MS"/>
          <w:w w:val="102"/>
        </w:rPr>
        <w:t xml:space="preserve"> </w:t>
      </w:r>
      <w:r w:rsidR="001673E5">
        <w:rPr>
          <w:rFonts w:eastAsia="Arial Unicode MS" w:cs="Arial Unicode MS"/>
          <w:b/>
          <w:color w:val="000099"/>
          <w:w w:val="102"/>
        </w:rPr>
        <w:t>Nº</w:t>
      </w:r>
      <w:r w:rsidRPr="00AB0D44">
        <w:rPr>
          <w:rFonts w:eastAsia="Arial Unicode MS" w:cs="Arial Unicode MS"/>
          <w:b/>
          <w:color w:val="000099"/>
          <w:w w:val="102"/>
        </w:rPr>
        <w:t xml:space="preserve"> 271</w:t>
      </w:r>
      <w:r w:rsidR="001673E5">
        <w:rPr>
          <w:rFonts w:eastAsia="Arial Unicode MS" w:cs="Arial Unicode MS"/>
          <w:b/>
          <w:color w:val="000099"/>
          <w:w w:val="102"/>
        </w:rPr>
        <w:t xml:space="preserve">-2014 </w:t>
      </w:r>
      <w:r w:rsidRPr="00AB0D44">
        <w:rPr>
          <w:rFonts w:eastAsia="Arial Unicode MS" w:cs="Arial Unicode MS"/>
          <w:w w:val="102"/>
        </w:rPr>
        <w:t>sobre:</w:t>
      </w:r>
    </w:p>
    <w:p w:rsidR="00AB0D44" w:rsidRPr="00AB0D44" w:rsidRDefault="00AB0D44" w:rsidP="00AB0D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10"/>
        </w:rPr>
      </w:pPr>
    </w:p>
    <w:p w:rsidR="00AB0D44" w:rsidRPr="00AB0D44" w:rsidRDefault="00AB0D44" w:rsidP="00AB0D4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AB0D44">
        <w:rPr>
          <w:rFonts w:asciiTheme="minorHAnsi" w:eastAsia="Arial Unicode MS" w:hAnsiTheme="minorHAnsi" w:cs="Arial Unicode MS"/>
          <w:b/>
          <w:color w:val="000099"/>
          <w:w w:val="102"/>
        </w:rPr>
        <w:t>Datos de cosechas 2011-2012, 2012-2013, 2013-2014 de maíz, frijol, arroz y café (números de producción en quintales).</w:t>
      </w:r>
    </w:p>
    <w:p w:rsidR="00AB0D44" w:rsidRPr="00AB0D44" w:rsidRDefault="00AB0D44" w:rsidP="00AB0D4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AB0D44">
        <w:rPr>
          <w:rFonts w:asciiTheme="minorHAnsi" w:eastAsia="Arial Unicode MS" w:hAnsiTheme="minorHAnsi" w:cs="Arial Unicode MS"/>
          <w:b/>
          <w:color w:val="000099"/>
          <w:w w:val="102"/>
        </w:rPr>
        <w:t>Previsiones de cosechas de maíz, frijol, arroz y café 2014-2015 (números de producción en quintales).</w:t>
      </w:r>
    </w:p>
    <w:p w:rsidR="00AB0D44" w:rsidRPr="00AB0D44" w:rsidRDefault="00AB0D44" w:rsidP="00AB0D4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AB0D44">
        <w:rPr>
          <w:rFonts w:asciiTheme="minorHAnsi" w:eastAsia="Arial Unicode MS" w:hAnsiTheme="minorHAnsi" w:cs="Arial Unicode MS"/>
          <w:b/>
          <w:color w:val="000099"/>
          <w:w w:val="102"/>
        </w:rPr>
        <w:t>Detalle por quintales y monto económico de pérdidas por sequía 2014 de frijol, maíz y café.</w:t>
      </w:r>
    </w:p>
    <w:p w:rsidR="00AB0D44" w:rsidRPr="00AB0D44" w:rsidRDefault="00AB0D44" w:rsidP="00AB0D4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="Arial Unicode MS"/>
          <w:b/>
          <w:color w:val="000099"/>
          <w:w w:val="102"/>
          <w:sz w:val="10"/>
          <w:highlight w:val="yellow"/>
        </w:rPr>
      </w:pPr>
    </w:p>
    <w:p w:rsidR="00AB0D44" w:rsidRPr="00AB0D44" w:rsidRDefault="00AB0D44" w:rsidP="00AB0D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B0D44">
        <w:rPr>
          <w:rFonts w:eastAsia="Arial Unicode MS" w:cs="Arial Unicode MS"/>
          <w:w w:val="102"/>
        </w:rPr>
        <w:t>Presentada ante la Oficina de Información y Respuesta de esta dependencia por parte de</w:t>
      </w:r>
      <w:r w:rsidRPr="00AB0D44">
        <w:rPr>
          <w:rFonts w:eastAsia="Arial Unicode MS" w:cs="Arial Unicode MS"/>
          <w:b/>
          <w:color w:val="000099"/>
        </w:rPr>
        <w:t>:</w:t>
      </w:r>
      <w:r w:rsidR="001673E5">
        <w:rPr>
          <w:rFonts w:eastAsia="Arial Unicode MS" w:cs="Arial Unicode MS"/>
          <w:b/>
          <w:color w:val="000099"/>
        </w:rPr>
        <w:t xml:space="preserve"> </w:t>
      </w:r>
      <w:r w:rsidR="001673E5" w:rsidRPr="001673E5">
        <w:rPr>
          <w:b/>
          <w:highlight w:val="black"/>
        </w:rPr>
        <w:t>**********************</w:t>
      </w:r>
      <w:r w:rsidR="001673E5">
        <w:rPr>
          <w:rFonts w:eastAsia="Arial Unicode MS" w:cs="Arial Unicode MS"/>
          <w:b/>
          <w:color w:val="000099"/>
          <w:w w:val="102"/>
        </w:rPr>
        <w:t xml:space="preserve"> </w:t>
      </w:r>
      <w:r w:rsidRPr="00AB0D44">
        <w:rPr>
          <w:rFonts w:eastAsia="Arial Unicode MS" w:cs="Arial Unicode MS"/>
          <w:w w:val="102"/>
        </w:rPr>
        <w:t xml:space="preserve">y considerando que </w:t>
      </w:r>
      <w:r w:rsidRPr="00AB0D44">
        <w:rPr>
          <w:rFonts w:eastAsia="Arial Unicode MS" w:cs="Arial Unicode MS"/>
          <w:color w:val="C00000"/>
          <w:w w:val="102"/>
        </w:rPr>
        <w:t>parte de</w:t>
      </w:r>
      <w:r w:rsidR="001673E5">
        <w:rPr>
          <w:rFonts w:eastAsia="Arial Unicode MS" w:cs="Arial Unicode MS"/>
          <w:color w:val="C00000"/>
          <w:w w:val="102"/>
        </w:rPr>
        <w:t xml:space="preserve"> </w:t>
      </w:r>
      <w:r w:rsidRPr="00AB0D44">
        <w:rPr>
          <w:rFonts w:eastAsia="Arial Unicode MS" w:cs="Arial Unicode MS"/>
          <w:w w:val="102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  <w:r w:rsidRPr="00AB0D44">
        <w:rPr>
          <w:rFonts w:eastAsia="Arial Unicode MS" w:cs="Arial Unicode MS"/>
          <w:b/>
          <w:color w:val="000099"/>
          <w:w w:val="102"/>
        </w:rPr>
        <w:t xml:space="preserve">PROPORCIONAR LA INFORMACIÓN PÚBLICA SOLICITADA, </w:t>
      </w:r>
      <w:r w:rsidRPr="00AB0D44">
        <w:rPr>
          <w:rFonts w:cstheme="minorHAnsi"/>
          <w:w w:val="102"/>
        </w:rPr>
        <w:t>la que se detalla a continuación:</w:t>
      </w:r>
    </w:p>
    <w:p w:rsidR="00AB0D44" w:rsidRPr="00AB0D44" w:rsidRDefault="00AB0D44" w:rsidP="00AB0D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C00000"/>
          <w:w w:val="102"/>
        </w:rPr>
      </w:pPr>
      <w:r w:rsidRPr="00AB0D44">
        <w:rPr>
          <w:rFonts w:cstheme="minorHAnsi"/>
          <w:b/>
          <w:color w:val="C00000"/>
          <w:w w:val="102"/>
        </w:rPr>
        <w:t>PERDIDAS EN QUINTALES DE MAIZ, FRIJOL Y MAICILLO:</w:t>
      </w:r>
    </w:p>
    <w:p w:rsidR="00AB0D44" w:rsidRPr="00AB0D44" w:rsidRDefault="00AB0D44" w:rsidP="00AB0D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10"/>
        </w:rPr>
      </w:pPr>
    </w:p>
    <w:tbl>
      <w:tblPr>
        <w:tblStyle w:val="Tablaconcuadrcula"/>
        <w:tblW w:w="0" w:type="auto"/>
        <w:tblInd w:w="1014" w:type="dxa"/>
        <w:tblLook w:val="04A0"/>
      </w:tblPr>
      <w:tblGrid>
        <w:gridCol w:w="2482"/>
        <w:gridCol w:w="1857"/>
        <w:gridCol w:w="2490"/>
      </w:tblGrid>
      <w:tr w:rsidR="00AB0D44" w:rsidRPr="00AB0D44" w:rsidTr="001673E5">
        <w:tc>
          <w:tcPr>
            <w:tcW w:w="0" w:type="auto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99"/>
                <w:w w:val="102"/>
              </w:rPr>
            </w:pPr>
            <w:r w:rsidRPr="00AB0D44">
              <w:rPr>
                <w:rFonts w:asciiTheme="minorHAnsi" w:hAnsiTheme="minorHAnsi" w:cstheme="minorHAnsi"/>
                <w:b/>
                <w:color w:val="000099"/>
                <w:w w:val="102"/>
              </w:rPr>
              <w:t>MAIZ</w:t>
            </w:r>
          </w:p>
        </w:tc>
        <w:tc>
          <w:tcPr>
            <w:tcW w:w="0" w:type="auto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99"/>
                <w:w w:val="102"/>
              </w:rPr>
            </w:pPr>
            <w:r w:rsidRPr="00AB0D44">
              <w:rPr>
                <w:rFonts w:asciiTheme="minorHAnsi" w:hAnsiTheme="minorHAnsi" w:cstheme="minorHAnsi"/>
                <w:b/>
                <w:color w:val="000099"/>
                <w:w w:val="102"/>
              </w:rPr>
              <w:t>FRIJOL</w:t>
            </w:r>
          </w:p>
        </w:tc>
        <w:tc>
          <w:tcPr>
            <w:tcW w:w="0" w:type="auto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99"/>
                <w:w w:val="102"/>
              </w:rPr>
            </w:pPr>
            <w:r w:rsidRPr="00AB0D44">
              <w:rPr>
                <w:rFonts w:asciiTheme="minorHAnsi" w:hAnsiTheme="minorHAnsi" w:cstheme="minorHAnsi"/>
                <w:b/>
                <w:color w:val="000099"/>
                <w:w w:val="102"/>
              </w:rPr>
              <w:t>MAICILLO</w:t>
            </w:r>
          </w:p>
        </w:tc>
      </w:tr>
      <w:tr w:rsidR="00AB0D44" w:rsidRPr="00AB0D44" w:rsidTr="001673E5">
        <w:tc>
          <w:tcPr>
            <w:tcW w:w="0" w:type="auto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99"/>
                <w:w w:val="102"/>
              </w:rPr>
            </w:pPr>
            <w:r w:rsidRPr="00AB0D44">
              <w:rPr>
                <w:rFonts w:asciiTheme="minorHAnsi" w:hAnsiTheme="minorHAnsi" w:cstheme="minorHAnsi"/>
                <w:color w:val="000099"/>
                <w:w w:val="102"/>
              </w:rPr>
              <w:t>3,620,941</w:t>
            </w:r>
          </w:p>
        </w:tc>
        <w:tc>
          <w:tcPr>
            <w:tcW w:w="0" w:type="auto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99"/>
                <w:w w:val="102"/>
              </w:rPr>
            </w:pPr>
            <w:r w:rsidRPr="00AB0D44">
              <w:rPr>
                <w:rFonts w:asciiTheme="minorHAnsi" w:hAnsiTheme="minorHAnsi" w:cstheme="minorHAnsi"/>
                <w:color w:val="000099"/>
                <w:w w:val="102"/>
              </w:rPr>
              <w:t>55,551</w:t>
            </w:r>
          </w:p>
        </w:tc>
        <w:tc>
          <w:tcPr>
            <w:tcW w:w="0" w:type="auto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99"/>
                <w:w w:val="102"/>
              </w:rPr>
            </w:pPr>
            <w:r w:rsidRPr="00AB0D44">
              <w:rPr>
                <w:rFonts w:asciiTheme="minorHAnsi" w:hAnsiTheme="minorHAnsi" w:cstheme="minorHAnsi"/>
                <w:color w:val="000099"/>
                <w:w w:val="102"/>
              </w:rPr>
              <w:t>149,485</w:t>
            </w:r>
          </w:p>
        </w:tc>
      </w:tr>
      <w:tr w:rsidR="00AB0D44" w:rsidRPr="00AB0D44" w:rsidTr="001673E5">
        <w:tc>
          <w:tcPr>
            <w:tcW w:w="0" w:type="auto"/>
            <w:gridSpan w:val="3"/>
          </w:tcPr>
          <w:p w:rsidR="00AB0D44" w:rsidRPr="00AB0D44" w:rsidRDefault="00AB0D44" w:rsidP="00DA1785">
            <w:pPr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99"/>
                <w:w w:val="102"/>
                <w:lang w:val="es-SV"/>
              </w:rPr>
            </w:pPr>
            <w:r w:rsidRPr="00AB0D44">
              <w:rPr>
                <w:rFonts w:asciiTheme="minorHAnsi" w:hAnsiTheme="minorHAnsi" w:cstheme="minorHAnsi"/>
                <w:color w:val="000099"/>
                <w:w w:val="102"/>
                <w:lang w:val="es-SV"/>
              </w:rPr>
              <w:t xml:space="preserve">La pérdida por sequía está valorada en forma global en </w:t>
            </w:r>
            <w:r w:rsidRPr="00AB0D44">
              <w:rPr>
                <w:rFonts w:asciiTheme="minorHAnsi" w:hAnsiTheme="minorHAnsi" w:cstheme="minorHAnsi"/>
                <w:b/>
                <w:color w:val="C00000"/>
                <w:w w:val="102"/>
                <w:lang w:val="es-SV"/>
              </w:rPr>
              <w:t>US 70.1 Millones</w:t>
            </w:r>
          </w:p>
        </w:tc>
      </w:tr>
    </w:tbl>
    <w:p w:rsidR="00AB0D44" w:rsidRPr="00AB0D44" w:rsidRDefault="00AB0D44" w:rsidP="00AB0D44">
      <w:pPr>
        <w:spacing w:after="0" w:line="240" w:lineRule="auto"/>
        <w:jc w:val="both"/>
        <w:rPr>
          <w:rFonts w:cstheme="minorHAnsi"/>
          <w:w w:val="102"/>
        </w:rPr>
      </w:pPr>
    </w:p>
    <w:p w:rsidR="00AB0D44" w:rsidRPr="00AB0D44" w:rsidRDefault="00AB0D44" w:rsidP="00AB0D44">
      <w:pPr>
        <w:spacing w:after="0" w:line="240" w:lineRule="auto"/>
        <w:jc w:val="both"/>
        <w:rPr>
          <w:rFonts w:cstheme="minorHAnsi"/>
          <w:w w:val="102"/>
        </w:rPr>
      </w:pPr>
      <w:r w:rsidRPr="00AB0D44">
        <w:rPr>
          <w:rFonts w:cstheme="minorHAnsi"/>
          <w:w w:val="102"/>
        </w:rPr>
        <w:t xml:space="preserve">Sobre </w:t>
      </w:r>
      <w:r w:rsidRPr="00AB0D44">
        <w:rPr>
          <w:rFonts w:cstheme="minorHAnsi"/>
          <w:b/>
          <w:i/>
          <w:color w:val="000099"/>
          <w:w w:val="102"/>
        </w:rPr>
        <w:t xml:space="preserve">lo solicitado acerca de Datos de cosechas 2011-2012,2012-2013, 2013-2014 de maíz, frijol, arroz y café (números de producción en quintales), </w:t>
      </w:r>
      <w:r w:rsidRPr="00AB0D44">
        <w:rPr>
          <w:rFonts w:cstheme="minorHAnsi"/>
          <w:w w:val="102"/>
        </w:rPr>
        <w:t xml:space="preserve">se analizó el fondo de lo solicitado determinando con base al art. 62 inciso 2º que parte de la misma ya está disponible al público. Por lo tanto resuelve: </w:t>
      </w:r>
      <w:r w:rsidRPr="00AB0D44">
        <w:rPr>
          <w:rFonts w:eastAsia="Arial Unicode MS" w:cs="Arial Unicode MS"/>
          <w:b/>
          <w:color w:val="000099"/>
          <w:w w:val="102"/>
        </w:rPr>
        <w:t xml:space="preserve">ORIENTAR LA UBICACIÓN DE LA INFORMACIÓN SOLICITADA. </w:t>
      </w:r>
      <w:r w:rsidRPr="00AB0D44">
        <w:rPr>
          <w:rFonts w:cstheme="minorHAnsi"/>
          <w:w w:val="102"/>
        </w:rPr>
        <w:t xml:space="preserve">La cual podrá consultarse, adquirirse o reproducirse en la página </w:t>
      </w:r>
      <w:r w:rsidRPr="00AB0D44">
        <w:rPr>
          <w:rFonts w:cstheme="minorHAnsi"/>
          <w:b/>
          <w:i/>
          <w:color w:val="000099"/>
          <w:w w:val="102"/>
        </w:rPr>
        <w:t>Web del MAG, www.mag.gob.sv,</w:t>
      </w:r>
      <w:r w:rsidRPr="00AB0D44">
        <w:rPr>
          <w:rFonts w:cstheme="minorHAnsi"/>
          <w:w w:val="102"/>
        </w:rPr>
        <w:t xml:space="preserve">en </w:t>
      </w:r>
      <w:r w:rsidRPr="00AB0D44">
        <w:rPr>
          <w:rFonts w:cstheme="minorHAnsi"/>
          <w:b/>
          <w:color w:val="000099"/>
          <w:w w:val="102"/>
        </w:rPr>
        <w:t>la Sección Temas/Estadísticas Agropecuarias</w:t>
      </w:r>
      <w:r w:rsidRPr="00AB0D44">
        <w:rPr>
          <w:rFonts w:cstheme="minorHAnsi"/>
          <w:w w:val="102"/>
        </w:rPr>
        <w:t>/Estadísticas de Producción Agropecuaria/Anuarios Agropecuarios e Informes de Encuestas.</w:t>
      </w:r>
    </w:p>
    <w:p w:rsidR="00AB0D44" w:rsidRPr="00AB0D44" w:rsidRDefault="00AB0D44" w:rsidP="00AB0D44">
      <w:pPr>
        <w:spacing w:after="0" w:line="240" w:lineRule="auto"/>
        <w:jc w:val="both"/>
        <w:rPr>
          <w:rFonts w:cstheme="minorHAnsi"/>
          <w:w w:val="102"/>
        </w:rPr>
      </w:pPr>
    </w:p>
    <w:p w:rsidR="00AB0D44" w:rsidRPr="00AB0D44" w:rsidRDefault="00AB0D44" w:rsidP="00AB0D44">
      <w:pPr>
        <w:spacing w:after="0" w:line="240" w:lineRule="auto"/>
        <w:jc w:val="both"/>
        <w:rPr>
          <w:rFonts w:cstheme="minorHAnsi"/>
          <w:b/>
          <w:color w:val="000099"/>
          <w:w w:val="102"/>
        </w:rPr>
      </w:pPr>
      <w:r w:rsidRPr="00AB0D44">
        <w:rPr>
          <w:rFonts w:cstheme="minorHAnsi"/>
          <w:w w:val="102"/>
        </w:rPr>
        <w:t xml:space="preserve">La información sobre </w:t>
      </w:r>
      <w:r w:rsidRPr="00AB0D44">
        <w:rPr>
          <w:rFonts w:cstheme="minorHAnsi"/>
          <w:b/>
          <w:i/>
          <w:color w:val="000099"/>
          <w:w w:val="102"/>
        </w:rPr>
        <w:t>Previsiones de cosechas de maíz, frijol, arroz y café 2014-2015 (números de producción en quintales)</w:t>
      </w:r>
      <w:r w:rsidRPr="00AB0D44">
        <w:rPr>
          <w:rFonts w:cstheme="minorHAnsi"/>
          <w:w w:val="102"/>
        </w:rPr>
        <w:t xml:space="preserve">, se estudió el fondo de lo solicitado y realizado una búsqueda de la información en el área respectiva siendo imposible localizarla en nuestros registros, por no contar con la misma </w:t>
      </w:r>
      <w:r w:rsidRPr="00AB0D44">
        <w:rPr>
          <w:rFonts w:cstheme="minorHAnsi"/>
          <w:color w:val="C00000"/>
          <w:w w:val="102"/>
        </w:rPr>
        <w:t>porque dicha información está en proceso de revisión,</w:t>
      </w:r>
      <w:r w:rsidRPr="00AB0D44">
        <w:rPr>
          <w:rFonts w:cstheme="minorHAnsi"/>
          <w:w w:val="102"/>
        </w:rPr>
        <w:t xml:space="preserve"> por tanto y considerando que la Ley de Acceso a la Información Pública dispone en el art. 73 que nos </w:t>
      </w:r>
      <w:r w:rsidRPr="00AB0D44">
        <w:rPr>
          <w:rFonts w:cstheme="minorHAnsi"/>
          <w:w w:val="102"/>
        </w:rPr>
        <w:lastRenderedPageBreak/>
        <w:t xml:space="preserve">encontramos ante un caso de información </w:t>
      </w:r>
      <w:r w:rsidRPr="00AB0D44">
        <w:rPr>
          <w:rFonts w:cstheme="minorHAnsi"/>
          <w:b/>
          <w:color w:val="000099"/>
          <w:w w:val="102"/>
        </w:rPr>
        <w:t>INEXISTENTE,</w:t>
      </w:r>
      <w:r w:rsidRPr="00AB0D44">
        <w:rPr>
          <w:rFonts w:cstheme="minorHAnsi"/>
          <w:w w:val="102"/>
        </w:rPr>
        <w:t xml:space="preserve"> lo que  impide  brindar lo  requerido  por  el  peticionario, esta dependencia resuelve:</w:t>
      </w:r>
      <w:r w:rsidR="001673E5">
        <w:rPr>
          <w:rFonts w:cstheme="minorHAnsi"/>
          <w:w w:val="102"/>
        </w:rPr>
        <w:t xml:space="preserve"> </w:t>
      </w:r>
      <w:r w:rsidRPr="00AB0D44">
        <w:rPr>
          <w:rFonts w:cstheme="minorHAnsi"/>
          <w:b/>
          <w:color w:val="000099"/>
          <w:w w:val="102"/>
        </w:rPr>
        <w:t>NEGAR EL ACCESO A LA INFORMACIÓN SOLICITADA POR INEXISTENCIA.</w:t>
      </w:r>
    </w:p>
    <w:p w:rsidR="00AB0D44" w:rsidRPr="001810CB" w:rsidRDefault="00AB0D44" w:rsidP="00AB0D4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B0D44" w:rsidRDefault="00AB0D44" w:rsidP="00AB0D4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Pr="00527430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AD" w:rsidRDefault="00C82EAD" w:rsidP="00823710">
      <w:pPr>
        <w:spacing w:after="0" w:line="240" w:lineRule="auto"/>
      </w:pPr>
      <w:r>
        <w:separator/>
      </w:r>
    </w:p>
  </w:endnote>
  <w:endnote w:type="continuationSeparator" w:id="1">
    <w:p w:rsidR="00C82EAD" w:rsidRDefault="00C82EA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AD" w:rsidRDefault="00C82EAD" w:rsidP="00823710">
      <w:pPr>
        <w:spacing w:after="0" w:line="240" w:lineRule="auto"/>
      </w:pPr>
      <w:r>
        <w:separator/>
      </w:r>
    </w:p>
  </w:footnote>
  <w:footnote w:type="continuationSeparator" w:id="1">
    <w:p w:rsidR="00C82EAD" w:rsidRDefault="00C82EA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2EAD"/>
    <w:rsid w:val="00C928AD"/>
    <w:rsid w:val="00C95C75"/>
    <w:rsid w:val="00CB39BA"/>
    <w:rsid w:val="00CC44D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2017-04-24T19:57:00Z</dcterms:created>
  <dcterms:modified xsi:type="dcterms:W3CDTF">2017-04-24T19:57:00Z</dcterms:modified>
</cp:coreProperties>
</file>