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Pr="002C7E2F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  <w:szCs w:val="28"/>
        </w:rPr>
      </w:pPr>
    </w:p>
    <w:p w:rsidR="002C7E2F" w:rsidRPr="0077362C" w:rsidRDefault="002C7E2F" w:rsidP="002C7E2F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7362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7362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77362C" w:rsidRPr="0077362C">
        <w:rPr>
          <w:rFonts w:cstheme="minorHAnsi"/>
          <w:b/>
          <w:color w:val="0000CC"/>
          <w:w w:val="102"/>
          <w:sz w:val="28"/>
          <w:szCs w:val="28"/>
          <w:u w:val="single"/>
        </w:rPr>
        <w:t>62</w:t>
      </w:r>
      <w:r w:rsidRPr="0077362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77362C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2"/>
        </w:rPr>
      </w:pPr>
    </w:p>
    <w:p w:rsidR="0077362C" w:rsidRPr="0077362C" w:rsidRDefault="0077362C" w:rsidP="007736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  <w:sz w:val="24"/>
          <w:szCs w:val="24"/>
        </w:rPr>
      </w:pPr>
    </w:p>
    <w:p w:rsidR="0077362C" w:rsidRPr="0077362C" w:rsidRDefault="0077362C" w:rsidP="007736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</w:rPr>
      </w:pPr>
      <w:r w:rsidRPr="0077362C">
        <w:rPr>
          <w:rFonts w:eastAsia="Arial Unicode MS" w:cs="Arial Unicode MS"/>
          <w:w w:val="102"/>
        </w:rPr>
        <w:t xml:space="preserve">Santa Tecla, a </w:t>
      </w:r>
      <w:r w:rsidRPr="0077362C">
        <w:rPr>
          <w:rFonts w:eastAsia="Arial Unicode MS" w:cs="Arial Unicode MS"/>
          <w:spacing w:val="1"/>
          <w:w w:val="102"/>
        </w:rPr>
        <w:t>l</w:t>
      </w:r>
      <w:r w:rsidRPr="0077362C">
        <w:rPr>
          <w:rFonts w:eastAsia="Arial Unicode MS" w:cs="Arial Unicode MS"/>
          <w:w w:val="102"/>
        </w:rPr>
        <w:t xml:space="preserve">as </w:t>
      </w:r>
      <w:r w:rsidRPr="0077362C">
        <w:rPr>
          <w:rFonts w:eastAsia="Arial Unicode MS" w:cs="Arial Unicode MS"/>
          <w:color w:val="C00000"/>
          <w:w w:val="102"/>
        </w:rPr>
        <w:t xml:space="preserve">diez horas con treinta minutos </w:t>
      </w:r>
      <w:r w:rsidRPr="0077362C">
        <w:rPr>
          <w:rFonts w:eastAsia="Arial Unicode MS" w:cs="Arial Unicode MS"/>
          <w:w w:val="102"/>
        </w:rPr>
        <w:t>d</w:t>
      </w:r>
      <w:r w:rsidRPr="0077362C">
        <w:rPr>
          <w:rFonts w:eastAsia="Arial Unicode MS" w:cs="Arial Unicode MS"/>
          <w:spacing w:val="-4"/>
          <w:w w:val="102"/>
        </w:rPr>
        <w:t>e</w:t>
      </w:r>
      <w:r w:rsidRPr="0077362C">
        <w:rPr>
          <w:rFonts w:eastAsia="Arial Unicode MS" w:cs="Arial Unicode MS"/>
          <w:w w:val="102"/>
        </w:rPr>
        <w:t>l d</w:t>
      </w:r>
      <w:r w:rsidRPr="0077362C">
        <w:rPr>
          <w:rFonts w:eastAsia="Arial Unicode MS" w:cs="Arial Unicode MS"/>
          <w:spacing w:val="1"/>
          <w:w w:val="102"/>
        </w:rPr>
        <w:t>í</w:t>
      </w:r>
      <w:r w:rsidRPr="0077362C">
        <w:rPr>
          <w:rFonts w:eastAsia="Arial Unicode MS" w:cs="Arial Unicode MS"/>
          <w:w w:val="102"/>
        </w:rPr>
        <w:t xml:space="preserve">a </w:t>
      </w:r>
      <w:r w:rsidRPr="0077362C">
        <w:rPr>
          <w:rFonts w:eastAsia="Arial Unicode MS" w:cs="Arial Unicode MS"/>
          <w:b/>
          <w:color w:val="000099"/>
          <w:w w:val="102"/>
        </w:rPr>
        <w:t>9 de octubre de 2014</w:t>
      </w:r>
      <w:r w:rsidRPr="0077362C">
        <w:rPr>
          <w:rFonts w:eastAsia="Arial Unicode MS" w:cs="Arial Unicode MS"/>
          <w:color w:val="000099"/>
          <w:w w:val="102"/>
        </w:rPr>
        <w:t xml:space="preserve">, </w:t>
      </w:r>
      <w:r w:rsidRPr="0077362C">
        <w:rPr>
          <w:rFonts w:eastAsia="Arial Unicode MS" w:cs="Arial Unicode MS"/>
          <w:w w:val="102"/>
        </w:rPr>
        <w:t xml:space="preserve">el Ministerio de Agricultura y Ganadería luego de haber recibido y admitido la solicitud de información </w:t>
      </w:r>
      <w:r w:rsidRPr="0077362C">
        <w:rPr>
          <w:rFonts w:eastAsia="Arial Unicode MS" w:cs="Arial Unicode MS"/>
          <w:b/>
          <w:color w:val="000099"/>
          <w:w w:val="102"/>
        </w:rPr>
        <w:t xml:space="preserve">No. 262 </w:t>
      </w:r>
      <w:r w:rsidRPr="0077362C">
        <w:rPr>
          <w:rFonts w:eastAsia="Arial Unicode MS" w:cs="Arial Unicode MS"/>
          <w:w w:val="102"/>
        </w:rPr>
        <w:t>sobre:</w:t>
      </w:r>
    </w:p>
    <w:p w:rsidR="0077362C" w:rsidRPr="0077362C" w:rsidRDefault="0077362C" w:rsidP="007736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</w:rPr>
      </w:pPr>
    </w:p>
    <w:p w:rsidR="0077362C" w:rsidRPr="0077362C" w:rsidRDefault="0077362C" w:rsidP="0077362C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w w:val="102"/>
          <w:lang w:val="es-SV" w:eastAsia="es-SV"/>
        </w:rPr>
      </w:pPr>
      <w:r w:rsidRPr="0077362C">
        <w:rPr>
          <w:rFonts w:asciiTheme="minorHAnsi" w:eastAsia="Arial Unicode MS" w:hAnsiTheme="minorHAnsi" w:cs="Arial Unicode MS"/>
          <w:b/>
          <w:color w:val="000099"/>
          <w:w w:val="102"/>
          <w:lang w:val="es-SV" w:eastAsia="es-SV"/>
        </w:rPr>
        <w:t>Cuál es el procedimiento para inscribir a nuevos agricultores para ser beneficiarios del paquete agrícola.</w:t>
      </w:r>
    </w:p>
    <w:p w:rsidR="0077362C" w:rsidRPr="0077362C" w:rsidRDefault="0077362C" w:rsidP="0077362C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w w:val="102"/>
          <w:lang w:val="es-SV" w:eastAsia="es-SV"/>
        </w:rPr>
      </w:pPr>
      <w:r w:rsidRPr="0077362C">
        <w:rPr>
          <w:rFonts w:asciiTheme="minorHAnsi" w:eastAsia="Arial Unicode MS" w:hAnsiTheme="minorHAnsi" w:cs="Arial Unicode MS"/>
          <w:b/>
          <w:color w:val="000099"/>
          <w:w w:val="102"/>
          <w:lang w:val="es-SV" w:eastAsia="es-SV"/>
        </w:rPr>
        <w:t>Cuando se inicia la inscripción.</w:t>
      </w:r>
    </w:p>
    <w:p w:rsidR="0077362C" w:rsidRPr="0077362C" w:rsidRDefault="0077362C" w:rsidP="0077362C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w w:val="102"/>
          <w:lang w:val="es-SV" w:eastAsia="es-SV"/>
        </w:rPr>
      </w:pPr>
    </w:p>
    <w:p w:rsidR="0077362C" w:rsidRPr="0077362C" w:rsidRDefault="0077362C" w:rsidP="007736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</w:rPr>
      </w:pPr>
      <w:r w:rsidRPr="0077362C">
        <w:rPr>
          <w:rFonts w:eastAsia="Arial Unicode MS" w:cs="Arial Unicode MS"/>
          <w:w w:val="102"/>
        </w:rPr>
        <w:t>Presentada ante la Oficina de Información y Respuesta de esta dependencia por parte de</w:t>
      </w:r>
      <w:r w:rsidRPr="0077362C">
        <w:rPr>
          <w:rFonts w:eastAsia="Arial Unicode MS" w:cs="Arial Unicode MS"/>
        </w:rPr>
        <w:t xml:space="preserve">: </w:t>
      </w:r>
      <w:r w:rsidRPr="0077362C">
        <w:rPr>
          <w:rFonts w:eastAsia="Arial Unicode MS" w:cs="Arial Unicode MS"/>
          <w:b/>
          <w:color w:val="000099"/>
        </w:rPr>
        <w:t xml:space="preserve">CARLOS ANTONIO SEGOVIA PORTILLO, </w:t>
      </w:r>
      <w:r w:rsidRPr="0077362C">
        <w:rPr>
          <w:rFonts w:eastAsia="Arial Unicode MS" w:cs="Arial Unicode MS"/>
          <w:w w:val="102"/>
        </w:rPr>
        <w:t xml:space="preserve">y considerando que </w:t>
      </w:r>
      <w:r w:rsidRPr="0077362C">
        <w:rPr>
          <w:rFonts w:eastAsia="Arial Unicode MS" w:cs="Arial Unicode MS"/>
          <w:color w:val="C00000"/>
          <w:w w:val="102"/>
        </w:rPr>
        <w:t xml:space="preserve">parte de </w:t>
      </w:r>
      <w:r w:rsidRPr="0077362C">
        <w:rPr>
          <w:rFonts w:eastAsia="Arial Unicode MS" w:cs="Arial Unicode MS"/>
          <w:w w:val="102"/>
        </w:rPr>
        <w:t xml:space="preserve">la información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77362C" w:rsidRPr="0077362C" w:rsidRDefault="0077362C" w:rsidP="007736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b/>
          <w:w w:val="102"/>
        </w:rPr>
      </w:pPr>
    </w:p>
    <w:p w:rsidR="0077362C" w:rsidRPr="0077362C" w:rsidRDefault="0077362C" w:rsidP="007736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="Arial Unicode MS"/>
          <w:b/>
          <w:color w:val="000099"/>
          <w:w w:val="102"/>
        </w:rPr>
      </w:pPr>
      <w:r w:rsidRPr="0077362C">
        <w:rPr>
          <w:rFonts w:eastAsia="Arial Unicode MS" w:cs="Arial Unicode MS"/>
          <w:b/>
          <w:color w:val="000099"/>
          <w:w w:val="102"/>
        </w:rPr>
        <w:t>PROPORCIONAR LA INFORMACIÓN PÚBLICA SOLICITADA</w:t>
      </w:r>
    </w:p>
    <w:p w:rsidR="0077362C" w:rsidRPr="0077362C" w:rsidRDefault="0077362C" w:rsidP="007736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b/>
          <w:w w:val="102"/>
        </w:rPr>
      </w:pPr>
    </w:p>
    <w:p w:rsidR="0077362C" w:rsidRPr="0077362C" w:rsidRDefault="0077362C" w:rsidP="0077362C">
      <w:pPr>
        <w:spacing w:after="0" w:line="240" w:lineRule="auto"/>
        <w:jc w:val="both"/>
        <w:rPr>
          <w:rFonts w:cstheme="minorHAnsi"/>
          <w:w w:val="102"/>
        </w:rPr>
      </w:pPr>
      <w:r w:rsidRPr="0077362C">
        <w:rPr>
          <w:rFonts w:cstheme="minorHAnsi"/>
          <w:w w:val="102"/>
        </w:rPr>
        <w:t>En anexo se detalla la información sobre el procedimiento para inscribirá nuevos agricultores para ser beneficiarios del paquete agrícola.</w:t>
      </w:r>
    </w:p>
    <w:p w:rsidR="0077362C" w:rsidRPr="0077362C" w:rsidRDefault="0077362C" w:rsidP="0077362C">
      <w:pPr>
        <w:spacing w:after="0" w:line="240" w:lineRule="auto"/>
        <w:jc w:val="both"/>
        <w:rPr>
          <w:rFonts w:cstheme="minorHAnsi"/>
          <w:w w:val="102"/>
        </w:rPr>
      </w:pPr>
    </w:p>
    <w:p w:rsidR="0077362C" w:rsidRPr="0077362C" w:rsidRDefault="0077362C" w:rsidP="0077362C">
      <w:pPr>
        <w:spacing w:after="0" w:line="240" w:lineRule="auto"/>
        <w:jc w:val="both"/>
        <w:rPr>
          <w:rFonts w:cstheme="minorHAnsi"/>
          <w:w w:val="102"/>
        </w:rPr>
      </w:pPr>
      <w:r w:rsidRPr="0077362C">
        <w:rPr>
          <w:rFonts w:cstheme="minorHAnsi"/>
          <w:w w:val="102"/>
        </w:rPr>
        <w:t xml:space="preserve">Sobre </w:t>
      </w:r>
      <w:r w:rsidRPr="0077362C">
        <w:rPr>
          <w:rFonts w:eastAsia="Arial Unicode MS" w:cs="Arial Unicode MS"/>
          <w:i/>
          <w:color w:val="0000CC"/>
          <w:w w:val="102"/>
          <w:lang w:val="es-ES" w:eastAsia="en-US"/>
        </w:rPr>
        <w:t>cuando inicia la inscripción</w:t>
      </w:r>
      <w:r w:rsidRPr="0077362C">
        <w:rPr>
          <w:rFonts w:cstheme="minorHAnsi"/>
          <w:color w:val="C00000"/>
          <w:w w:val="102"/>
        </w:rPr>
        <w:t>le informamos que aún no se define la fecha de inicio del empadronamiento para la entrega del paquetes de 2015</w:t>
      </w:r>
      <w:r w:rsidRPr="0077362C">
        <w:rPr>
          <w:rFonts w:cstheme="minorHAnsi"/>
          <w:w w:val="102"/>
        </w:rPr>
        <w:t xml:space="preserve">, en ese sentido analizada la petición y lo anteriormente expuesto, y considerando que la Ley de Acceso a la Información Pública dispone en el art. 73 que nos encontramos ante un caso de información </w:t>
      </w:r>
      <w:r w:rsidRPr="0077362C">
        <w:rPr>
          <w:rFonts w:cstheme="minorHAnsi"/>
          <w:color w:val="0000CC"/>
          <w:w w:val="102"/>
        </w:rPr>
        <w:t>INEXISTENTE</w:t>
      </w:r>
      <w:r w:rsidRPr="0077362C">
        <w:rPr>
          <w:rFonts w:cstheme="minorHAnsi"/>
          <w:w w:val="102"/>
        </w:rPr>
        <w:t>, lo que  impide  brindar lo  requerido  por  el  peticionario. Por la tanto resuelve:</w:t>
      </w:r>
    </w:p>
    <w:p w:rsidR="0077362C" w:rsidRPr="0077362C" w:rsidRDefault="0077362C" w:rsidP="0077362C">
      <w:pPr>
        <w:spacing w:after="0" w:line="240" w:lineRule="auto"/>
        <w:jc w:val="both"/>
        <w:rPr>
          <w:rFonts w:cstheme="minorHAnsi"/>
          <w:w w:val="102"/>
        </w:rPr>
      </w:pPr>
    </w:p>
    <w:p w:rsidR="0077362C" w:rsidRPr="0077362C" w:rsidRDefault="0077362C" w:rsidP="007736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</w:rPr>
      </w:pPr>
      <w:r w:rsidRPr="0077362C">
        <w:rPr>
          <w:rFonts w:eastAsia="Arial Unicode MS" w:cs="Arial Unicode MS"/>
          <w:b/>
          <w:color w:val="000099"/>
          <w:w w:val="102"/>
        </w:rPr>
        <w:t>NO ENTREGAR LA INFORMACION POR INEXISTENTE</w:t>
      </w:r>
    </w:p>
    <w:p w:rsidR="00E55E5D" w:rsidRPr="004130F2" w:rsidRDefault="00E55E5D" w:rsidP="00E55E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b/>
          <w:color w:val="0000CC"/>
          <w:w w:val="102"/>
          <w:sz w:val="16"/>
          <w:szCs w:val="28"/>
        </w:rPr>
      </w:pPr>
    </w:p>
    <w:p w:rsidR="008416F9" w:rsidRDefault="008416F9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F648B6" w:rsidRPr="00527430" w:rsidRDefault="00F648B6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CFD" w:rsidRDefault="00EA6CFD" w:rsidP="00823710">
      <w:pPr>
        <w:spacing w:after="0" w:line="240" w:lineRule="auto"/>
      </w:pPr>
      <w:r>
        <w:separator/>
      </w:r>
    </w:p>
  </w:endnote>
  <w:endnote w:type="continuationSeparator" w:id="1">
    <w:p w:rsidR="00EA6CFD" w:rsidRDefault="00EA6CF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CFD" w:rsidRDefault="00EA6CFD" w:rsidP="00823710">
      <w:pPr>
        <w:spacing w:after="0" w:line="240" w:lineRule="auto"/>
      </w:pPr>
      <w:r>
        <w:separator/>
      </w:r>
    </w:p>
  </w:footnote>
  <w:footnote w:type="continuationSeparator" w:id="1">
    <w:p w:rsidR="00EA6CFD" w:rsidRDefault="00EA6CF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63BA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E3B45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55E5D"/>
    <w:rsid w:val="00E616DD"/>
    <w:rsid w:val="00E64E2E"/>
    <w:rsid w:val="00E753B5"/>
    <w:rsid w:val="00E810D0"/>
    <w:rsid w:val="00E95592"/>
    <w:rsid w:val="00EA11E9"/>
    <w:rsid w:val="00EA6CFD"/>
    <w:rsid w:val="00EB3251"/>
    <w:rsid w:val="00EB4177"/>
    <w:rsid w:val="00EC3F8E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2017-04-24T17:39:00Z</dcterms:created>
  <dcterms:modified xsi:type="dcterms:W3CDTF">2017-04-24T17:39:00Z</dcterms:modified>
</cp:coreProperties>
</file>